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5A0" w:rsidRPr="00D56784" w:rsidRDefault="005F15A0" w:rsidP="005F15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D688C">
        <w:rPr>
          <w:rFonts w:ascii="Times New Roman" w:hAnsi="Times New Roman"/>
          <w:b/>
          <w:sz w:val="24"/>
          <w:szCs w:val="24"/>
          <w:lang w:val="sr-Cyrl-CS"/>
        </w:rPr>
        <w:t>Табела 6.6. Назив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и број  текућих стручних и уметничких пројеката који се тренутно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реализују у установи чији су 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руководиоци  наставници  стално запослени у високошколској установи.</w:t>
      </w:r>
    </w:p>
    <w:p w:rsidR="005F15A0" w:rsidRPr="00D56784" w:rsidRDefault="005F15A0" w:rsidP="005F15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092"/>
        <w:gridCol w:w="1961"/>
        <w:gridCol w:w="1584"/>
        <w:gridCol w:w="1710"/>
      </w:tblGrid>
      <w:tr w:rsidR="005F15A0" w:rsidRPr="00626F64" w:rsidTr="00A27E2F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Назив и евиденциони број пројекта</w:t>
            </w:r>
          </w:p>
        </w:tc>
        <w:tc>
          <w:tcPr>
            <w:tcW w:w="19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Назив финансијера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 учесника на пројекту</w:t>
            </w:r>
          </w:p>
        </w:tc>
      </w:tr>
      <w:tr w:rsidR="005F15A0" w:rsidRPr="00626F64" w:rsidTr="00A27E2F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5F15A0" w:rsidRPr="00F31E5E" w:rsidRDefault="005F15A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092" w:type="dxa"/>
            <w:tcBorders>
              <w:top w:val="double" w:sz="4" w:space="0" w:color="auto"/>
            </w:tcBorders>
            <w:vAlign w:val="center"/>
          </w:tcPr>
          <w:p w:rsidR="005F15A0" w:rsidRPr="00F31E5E" w:rsidRDefault="00A27E2F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О</w:t>
            </w:r>
            <w:r w:rsidR="00862A51">
              <w:rPr>
                <w:rFonts w:ascii="Cambria" w:eastAsia="MS Mincho" w:hAnsi="Cambria"/>
                <w:lang w:val="sr-Cyrl-RS"/>
              </w:rPr>
              <w:t>букa</w:t>
            </w:r>
            <w:r w:rsidR="00862A51" w:rsidRPr="00862A51">
              <w:rPr>
                <w:rFonts w:ascii="Cambria" w:eastAsia="MS Mincho" w:hAnsi="Cambria"/>
                <w:lang w:val="sr-Cyrl-RS"/>
              </w:rPr>
              <w:t xml:space="preserve"> лица за саветника за хемикалије</w:t>
            </w:r>
          </w:p>
        </w:tc>
        <w:tc>
          <w:tcPr>
            <w:tcW w:w="19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F15A0" w:rsidRPr="009139A7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Д</w:t>
            </w:r>
          </w:p>
        </w:tc>
        <w:tc>
          <w:tcPr>
            <w:tcW w:w="15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Информациони систем за подршку у пројектовању и производњи фасадне столарије</w:t>
            </w:r>
            <w:r>
              <w:rPr>
                <w:rFonts w:ascii="Cambria" w:eastAsia="MS Mincho" w:hAnsi="Cambria"/>
                <w:lang w:val="sr-Cyrl-RS"/>
              </w:rPr>
              <w:t xml:space="preserve"> (Нови софтвер)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Хроматографска и спектроскопска анализа квалитета грожђа и вина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9139A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092" w:type="dxa"/>
            <w:vAlign w:val="center"/>
          </w:tcPr>
          <w:p w:rsidR="005F15A0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Давање савета у области управљања отпадом: Анализа предложене верзије регионалног стратешког плана управљања отпадом, предлагање мера и праћење реализације наведеног акта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9139A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5. </w:t>
            </w:r>
          </w:p>
        </w:tc>
        <w:tc>
          <w:tcPr>
            <w:tcW w:w="3092" w:type="dxa"/>
            <w:vAlign w:val="center"/>
          </w:tcPr>
          <w:p w:rsidR="005F15A0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 xml:space="preserve">Нови производ или технологија у производњи, М82 - Добијање, карактеризација и примена биосорбента на бази коре Lagenaria vulgaris 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2C24BC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Ниш/ЈКП Наисус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9139A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6. 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Спектрално-селективни апсорбер Сунчевог зрачења на електрохемијски обојеном анодно оксидованом алуминијуму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Хибридни колектор Сунчевог зрачења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bookmarkStart w:id="0" w:name="_GoBack"/>
            <w:bookmarkEnd w:id="0"/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Акредитовани курсеви континуиране професионалне едукације из области примене масене спектрометрије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3092" w:type="dxa"/>
            <w:vAlign w:val="center"/>
          </w:tcPr>
          <w:p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Интегрисани информациони систем факултета – „ФАКУЛТИС“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9139A7" w:rsidRPr="00626F64" w:rsidTr="00A27E2F">
        <w:tc>
          <w:tcPr>
            <w:tcW w:w="875" w:type="dxa"/>
            <w:vAlign w:val="center"/>
          </w:tcPr>
          <w:p w:rsidR="009139A7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3092" w:type="dxa"/>
            <w:vAlign w:val="center"/>
          </w:tcPr>
          <w:p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ПРОГРАМ ЗАШТИТЕ ЖИВОТНЕ СРЕДИНЕ ГРАДА НИША СА АКЦИОНИМ ПЛАНОМ ЗА ПЕРИОД ОД 2017. ДО 2027. ГОДИНЕ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9139A7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</w:tr>
      <w:tr w:rsidR="009139A7" w:rsidRPr="00626F64" w:rsidTr="00A27E2F">
        <w:tc>
          <w:tcPr>
            <w:tcW w:w="875" w:type="dxa"/>
            <w:vAlign w:val="center"/>
          </w:tcPr>
          <w:p w:rsidR="009139A7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3092" w:type="dxa"/>
            <w:vAlign w:val="center"/>
          </w:tcPr>
          <w:p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Анализа нечистоћа на пиновима HP pcba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9139A7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</w:tr>
      <w:tr w:rsidR="009139A7" w:rsidRPr="00626F64" w:rsidTr="00A27E2F">
        <w:tc>
          <w:tcPr>
            <w:tcW w:w="875" w:type="dxa"/>
            <w:vAlign w:val="center"/>
          </w:tcPr>
          <w:p w:rsidR="009139A7" w:rsidRPr="00F31E5E" w:rsidRDefault="00A27E2F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12.</w:t>
            </w:r>
          </w:p>
        </w:tc>
        <w:tc>
          <w:tcPr>
            <w:tcW w:w="3092" w:type="dxa"/>
            <w:vAlign w:val="center"/>
          </w:tcPr>
          <w:p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Испитивање антимикробне активности Mabosan floor и Mabosan floor M средстава за ручно и машинско прање и дезинфекцију подова произвођача МАБО Хемијска индустрија Лесковац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9139A7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Хемијска индустрија Лесковац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9139A7" w:rsidRPr="00626F64" w:rsidTr="00A27E2F">
        <w:tc>
          <w:tcPr>
            <w:tcW w:w="875" w:type="dxa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9139A7" w:rsidRPr="00626F64" w:rsidTr="00A27E2F">
        <w:tc>
          <w:tcPr>
            <w:tcW w:w="875" w:type="dxa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:rsidTr="00A27E2F">
        <w:tc>
          <w:tcPr>
            <w:tcW w:w="875" w:type="dxa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н.</w:t>
            </w:r>
          </w:p>
        </w:tc>
        <w:tc>
          <w:tcPr>
            <w:tcW w:w="3092" w:type="dxa"/>
            <w:vAlign w:val="center"/>
          </w:tcPr>
          <w:p w:rsidR="005F15A0" w:rsidRPr="00F31E5E" w:rsidRDefault="005F15A0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:rsidTr="00A27E2F">
        <w:tc>
          <w:tcPr>
            <w:tcW w:w="9222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5F15A0" w:rsidRPr="00F31E5E" w:rsidRDefault="005F15A0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31E5E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:rsidR="005F15A0" w:rsidRDefault="005F15A0" w:rsidP="005F15A0">
      <w:pPr>
        <w:rPr>
          <w:rFonts w:ascii="Times New Roman" w:hAnsi="Times New Roman"/>
          <w:sz w:val="24"/>
          <w:szCs w:val="24"/>
        </w:rPr>
      </w:pPr>
    </w:p>
    <w:p w:rsidR="000D7795" w:rsidRDefault="00694CC6"/>
    <w:sectPr w:rsidR="000D7795" w:rsidSect="00A27E2F">
      <w:pgSz w:w="11907" w:h="16839" w:code="9"/>
      <w:pgMar w:top="1440" w:right="964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5375C4"/>
    <w:multiLevelType w:val="hybridMultilevel"/>
    <w:tmpl w:val="E1647514"/>
    <w:lvl w:ilvl="0" w:tplc="3B9C2E9A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5A0"/>
    <w:rsid w:val="0028534F"/>
    <w:rsid w:val="002C24BC"/>
    <w:rsid w:val="005F15A0"/>
    <w:rsid w:val="00694CC6"/>
    <w:rsid w:val="00782844"/>
    <w:rsid w:val="00862A51"/>
    <w:rsid w:val="009139A7"/>
    <w:rsid w:val="00A2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99371-6758-4EBC-AC68-B4BDBA3A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5A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Danica Dobrosavljevic</cp:lastModifiedBy>
  <cp:revision>6</cp:revision>
  <dcterms:created xsi:type="dcterms:W3CDTF">2016-09-01T10:25:00Z</dcterms:created>
  <dcterms:modified xsi:type="dcterms:W3CDTF">2017-03-14T16:03:00Z</dcterms:modified>
</cp:coreProperties>
</file>