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12" w:space="0" w:color="2F5496" w:themeColor="accent1" w:themeShade="BF"/>
          <w:left w:val="single" w:sz="12" w:space="0" w:color="2F5496" w:themeColor="accent1" w:themeShade="BF"/>
          <w:bottom w:val="single" w:sz="12" w:space="0" w:color="2F5496" w:themeColor="accent1" w:themeShade="BF"/>
          <w:right w:val="single" w:sz="12" w:space="0" w:color="2F5496" w:themeColor="accent1" w:themeShade="BF"/>
          <w:insideH w:val="single" w:sz="12" w:space="0" w:color="2F5496" w:themeColor="accent1" w:themeShade="BF"/>
          <w:insideV w:val="single" w:sz="12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4803"/>
        <w:gridCol w:w="4527"/>
      </w:tblGrid>
      <w:tr w:rsidR="0072767D" w:rsidRPr="00C70168" w14:paraId="5E8432FA" w14:textId="77777777" w:rsidTr="00BF5413">
        <w:tc>
          <w:tcPr>
            <w:tcW w:w="9606" w:type="dxa"/>
            <w:gridSpan w:val="2"/>
            <w:shd w:val="clear" w:color="auto" w:fill="8EAADB" w:themeFill="accent1" w:themeFillTint="99"/>
          </w:tcPr>
          <w:p w14:paraId="579D52AE" w14:textId="52FA95B9" w:rsidR="0072767D" w:rsidRPr="00744969" w:rsidRDefault="0072767D" w:rsidP="00BF5413">
            <w:pPr>
              <w:spacing w:after="0" w:line="240" w:lineRule="auto"/>
              <w:rPr>
                <w:rFonts w:ascii="Arial" w:hAnsi="Arial" w:cs="Arial"/>
                <w:lang w:val="sr-Cyrl-RS"/>
              </w:rPr>
            </w:pPr>
            <w:proofErr w:type="spellStart"/>
            <w:r w:rsidRPr="00CC784E">
              <w:rPr>
                <w:rFonts w:ascii="Arial" w:hAnsi="Arial" w:cs="Arial"/>
                <w:b/>
              </w:rPr>
              <w:t>Стандард</w:t>
            </w:r>
            <w:proofErr w:type="spellEnd"/>
            <w:r w:rsidRPr="00CC784E">
              <w:rPr>
                <w:rFonts w:ascii="Arial" w:hAnsi="Arial" w:cs="Arial"/>
                <w:b/>
              </w:rPr>
              <w:t xml:space="preserve"> 4. </w:t>
            </w:r>
            <w:proofErr w:type="spellStart"/>
            <w:r w:rsidRPr="00CC784E">
              <w:rPr>
                <w:rFonts w:ascii="Arial" w:hAnsi="Arial" w:cs="Arial"/>
                <w:b/>
              </w:rPr>
              <w:t>Квалитет</w:t>
            </w:r>
            <w:proofErr w:type="spellEnd"/>
            <w:r w:rsidRPr="00CC784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  <w:b/>
              </w:rPr>
              <w:t>студијског</w:t>
            </w:r>
            <w:proofErr w:type="spellEnd"/>
            <w:r w:rsidRPr="00CC784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  <w:b/>
              </w:rPr>
              <w:t>програма</w:t>
            </w:r>
            <w:proofErr w:type="spellEnd"/>
            <w:r w:rsidR="0074496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744969">
              <w:rPr>
                <w:rFonts w:ascii="Arial" w:hAnsi="Arial" w:cs="Arial"/>
                <w:b/>
                <w:lang w:val="sr-Cyrl-RS"/>
              </w:rPr>
              <w:t>МАС</w:t>
            </w:r>
            <w:proofErr w:type="spellEnd"/>
            <w:r w:rsidR="00744969">
              <w:rPr>
                <w:rFonts w:ascii="Arial" w:hAnsi="Arial" w:cs="Arial"/>
                <w:b/>
                <w:lang w:val="sr-Cyrl-RS"/>
              </w:rPr>
              <w:t xml:space="preserve"> Хемија</w:t>
            </w:r>
          </w:p>
          <w:p w14:paraId="4979BE3E" w14:textId="77777777" w:rsidR="0072767D" w:rsidRPr="00CC784E" w:rsidRDefault="0072767D" w:rsidP="00BF54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C784E">
              <w:rPr>
                <w:rFonts w:ascii="Arial" w:hAnsi="Arial" w:cs="Arial"/>
              </w:rPr>
              <w:t>Квалитет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студијског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програма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обезбеђује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се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кроз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праћење</w:t>
            </w:r>
            <w:proofErr w:type="spellEnd"/>
            <w:r w:rsidRPr="00CC784E">
              <w:rPr>
                <w:rFonts w:ascii="Arial" w:hAnsi="Arial" w:cs="Arial"/>
              </w:rPr>
              <w:t xml:space="preserve"> и </w:t>
            </w:r>
            <w:proofErr w:type="spellStart"/>
            <w:r w:rsidRPr="00CC784E">
              <w:rPr>
                <w:rFonts w:ascii="Arial" w:hAnsi="Arial" w:cs="Arial"/>
              </w:rPr>
              <w:t>проверу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његових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циљева</w:t>
            </w:r>
            <w:proofErr w:type="spellEnd"/>
            <w:r w:rsidRPr="00CC784E">
              <w:rPr>
                <w:rFonts w:ascii="Arial" w:hAnsi="Arial" w:cs="Arial"/>
              </w:rPr>
              <w:t xml:space="preserve">, </w:t>
            </w:r>
            <w:proofErr w:type="spellStart"/>
            <w:r w:rsidRPr="00CC784E">
              <w:rPr>
                <w:rFonts w:ascii="Arial" w:hAnsi="Arial" w:cs="Arial"/>
              </w:rPr>
              <w:t>структуре</w:t>
            </w:r>
            <w:proofErr w:type="spellEnd"/>
            <w:r w:rsidRPr="00CC784E">
              <w:rPr>
                <w:rFonts w:ascii="Arial" w:hAnsi="Arial" w:cs="Arial"/>
              </w:rPr>
              <w:t xml:space="preserve">, </w:t>
            </w:r>
            <w:proofErr w:type="spellStart"/>
            <w:r w:rsidRPr="00CC784E">
              <w:rPr>
                <w:rFonts w:ascii="Arial" w:hAnsi="Arial" w:cs="Arial"/>
              </w:rPr>
              <w:t>радног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оптерећења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студената</w:t>
            </w:r>
            <w:proofErr w:type="spellEnd"/>
            <w:r w:rsidRPr="00CC784E">
              <w:rPr>
                <w:rFonts w:ascii="Arial" w:hAnsi="Arial" w:cs="Arial"/>
              </w:rPr>
              <w:t xml:space="preserve">, </w:t>
            </w:r>
            <w:proofErr w:type="spellStart"/>
            <w:r w:rsidRPr="00CC784E">
              <w:rPr>
                <w:rFonts w:ascii="Arial" w:hAnsi="Arial" w:cs="Arial"/>
              </w:rPr>
              <w:t>као</w:t>
            </w:r>
            <w:proofErr w:type="spellEnd"/>
            <w:r w:rsidRPr="00CC784E">
              <w:rPr>
                <w:rFonts w:ascii="Arial" w:hAnsi="Arial" w:cs="Arial"/>
              </w:rPr>
              <w:t xml:space="preserve"> и </w:t>
            </w:r>
            <w:proofErr w:type="spellStart"/>
            <w:r w:rsidRPr="00CC784E">
              <w:rPr>
                <w:rFonts w:ascii="Arial" w:hAnsi="Arial" w:cs="Arial"/>
              </w:rPr>
              <w:t>кроз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осавремењивање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садржаја</w:t>
            </w:r>
            <w:proofErr w:type="spellEnd"/>
            <w:r w:rsidRPr="00CC784E">
              <w:rPr>
                <w:rFonts w:ascii="Arial" w:hAnsi="Arial" w:cs="Arial"/>
              </w:rPr>
              <w:t xml:space="preserve"> и </w:t>
            </w:r>
            <w:proofErr w:type="spellStart"/>
            <w:r w:rsidRPr="00CC784E">
              <w:rPr>
                <w:rFonts w:ascii="Arial" w:hAnsi="Arial" w:cs="Arial"/>
              </w:rPr>
              <w:t>стално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прикупљање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информација</w:t>
            </w:r>
            <w:proofErr w:type="spellEnd"/>
            <w:r w:rsidRPr="00CC784E">
              <w:rPr>
                <w:rFonts w:ascii="Arial" w:hAnsi="Arial" w:cs="Arial"/>
              </w:rPr>
              <w:t xml:space="preserve"> о </w:t>
            </w:r>
            <w:proofErr w:type="spellStart"/>
            <w:r w:rsidRPr="00CC784E">
              <w:rPr>
                <w:rFonts w:ascii="Arial" w:hAnsi="Arial" w:cs="Arial"/>
              </w:rPr>
              <w:t>квалитету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програма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од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одговарајућих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организација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из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окружења</w:t>
            </w:r>
            <w:proofErr w:type="spellEnd"/>
            <w:r w:rsidRPr="00CC784E">
              <w:rPr>
                <w:rFonts w:ascii="Arial" w:hAnsi="Arial" w:cs="Arial"/>
              </w:rPr>
              <w:t>.</w:t>
            </w:r>
          </w:p>
        </w:tc>
      </w:tr>
      <w:tr w:rsidR="0072767D" w:rsidRPr="00C70168" w14:paraId="14E50A53" w14:textId="77777777" w:rsidTr="00BF5413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10A49496" w14:textId="77777777" w:rsidR="0072767D" w:rsidRPr="00CC784E" w:rsidRDefault="0072767D" w:rsidP="00BF5413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sr-Latn-RS"/>
              </w:rPr>
            </w:pPr>
            <w:r w:rsidRPr="00CC784E">
              <w:rPr>
                <w:rFonts w:ascii="Arial" w:hAnsi="Arial" w:cs="Arial"/>
                <w:b/>
                <w:color w:val="auto"/>
                <w:sz w:val="22"/>
                <w:szCs w:val="22"/>
                <w:lang w:val="sr-Cyrl-RS"/>
              </w:rPr>
              <w:t xml:space="preserve">а) Опис стања, анализа и процена стандарда </w:t>
            </w:r>
            <w:r w:rsidRPr="00CC784E">
              <w:rPr>
                <w:rFonts w:ascii="Arial" w:hAnsi="Arial" w:cs="Arial"/>
                <w:b/>
                <w:color w:val="auto"/>
                <w:sz w:val="22"/>
                <w:szCs w:val="22"/>
                <w:lang w:val="sr-Latn-RS"/>
              </w:rPr>
              <w:t>4</w:t>
            </w:r>
          </w:p>
        </w:tc>
      </w:tr>
      <w:tr w:rsidR="0072767D" w:rsidRPr="00C70168" w14:paraId="6159CED2" w14:textId="77777777" w:rsidTr="00BF5413">
        <w:tc>
          <w:tcPr>
            <w:tcW w:w="9606" w:type="dxa"/>
            <w:gridSpan w:val="2"/>
            <w:shd w:val="clear" w:color="auto" w:fill="auto"/>
          </w:tcPr>
          <w:p w14:paraId="31C9BEBC" w14:textId="77777777" w:rsidR="0072767D" w:rsidRDefault="0072767D" w:rsidP="00BF5413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14"/>
            </w:tblGrid>
            <w:tr w:rsidR="0072767D" w:rsidRPr="00CC784E" w14:paraId="0222B06E" w14:textId="77777777" w:rsidTr="00BF5413">
              <w:trPr>
                <w:trHeight w:val="999"/>
              </w:trPr>
              <w:tc>
                <w:tcPr>
                  <w:tcW w:w="0" w:type="auto"/>
                </w:tcPr>
                <w:p w14:paraId="23A70F0F" w14:textId="7A7B3E9C" w:rsidR="0072767D" w:rsidRPr="0072767D" w:rsidRDefault="0072767D" w:rsidP="00BF541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20"/>
                    <w:jc w:val="both"/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</w:pP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Природно-математички факултет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у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Нишу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је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акредитовао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2014. године,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студијски програм Хемија у оквиру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МАС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.</w:t>
                  </w:r>
                </w:p>
                <w:p w14:paraId="5AF98757" w14:textId="77777777" w:rsidR="0072767D" w:rsidRDefault="0072767D" w:rsidP="00BF541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20"/>
                    <w:jc w:val="both"/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</w:pP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Уверењ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е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о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акредитацији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студијских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програма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доступн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о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је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на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сајту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Ф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акултета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, на линку </w:t>
                  </w:r>
                  <w:hyperlink r:id="rId5" w:history="1">
                    <w:proofErr w:type="spellStart"/>
                    <w:r w:rsidRPr="00B900E6">
                      <w:rPr>
                        <w:rStyle w:val="Hyperlink"/>
                        <w:rFonts w:ascii="Arial" w:hAnsi="Arial" w:cs="Arial"/>
                        <w:sz w:val="23"/>
                        <w:szCs w:val="23"/>
                        <w:lang w:val="sr-Cyrl-RS"/>
                      </w:rPr>
                      <w:t>http</w:t>
                    </w:r>
                    <w:proofErr w:type="spellEnd"/>
                    <w:r w:rsidRPr="00B900E6">
                      <w:rPr>
                        <w:rStyle w:val="Hyperlink"/>
                        <w:rFonts w:ascii="Arial" w:hAnsi="Arial" w:cs="Arial"/>
                        <w:sz w:val="23"/>
                        <w:szCs w:val="23"/>
                        <w:lang w:val="sr-Cyrl-RS"/>
                      </w:rPr>
                      <w:t>://</w:t>
                    </w:r>
                    <w:proofErr w:type="spellStart"/>
                    <w:r w:rsidRPr="00B900E6">
                      <w:rPr>
                        <w:rStyle w:val="Hyperlink"/>
                        <w:rFonts w:ascii="Arial" w:hAnsi="Arial" w:cs="Arial"/>
                        <w:sz w:val="23"/>
                        <w:szCs w:val="23"/>
                        <w:lang w:val="sr-Cyrl-RS"/>
                      </w:rPr>
                      <w:t>operator.pmf.ni.ac.rs</w:t>
                    </w:r>
                    <w:proofErr w:type="spellEnd"/>
                    <w:r w:rsidRPr="00B900E6">
                      <w:rPr>
                        <w:rStyle w:val="Hyperlink"/>
                        <w:rFonts w:ascii="Arial" w:hAnsi="Arial" w:cs="Arial"/>
                        <w:sz w:val="23"/>
                        <w:szCs w:val="23"/>
                        <w:lang w:val="sr-Cyrl-RS"/>
                      </w:rPr>
                      <w:t>/</w:t>
                    </w:r>
                    <w:proofErr w:type="spellStart"/>
                    <w:r w:rsidRPr="00B900E6">
                      <w:rPr>
                        <w:rStyle w:val="Hyperlink"/>
                        <w:rFonts w:ascii="Arial" w:hAnsi="Arial" w:cs="Arial"/>
                        <w:sz w:val="23"/>
                        <w:szCs w:val="23"/>
                        <w:lang w:val="sr-Cyrl-RS"/>
                      </w:rPr>
                      <w:t>akreditacijaPMF2013</w:t>
                    </w:r>
                    <w:proofErr w:type="spellEnd"/>
                    <w:r w:rsidRPr="00B900E6">
                      <w:rPr>
                        <w:rStyle w:val="Hyperlink"/>
                        <w:rFonts w:ascii="Arial" w:hAnsi="Arial" w:cs="Arial"/>
                        <w:sz w:val="23"/>
                        <w:szCs w:val="23"/>
                        <w:lang w:val="sr-Cyrl-RS"/>
                      </w:rPr>
                      <w:t>/</w:t>
                    </w:r>
                    <w:proofErr w:type="spellStart"/>
                    <w:r w:rsidRPr="00B900E6">
                      <w:rPr>
                        <w:rStyle w:val="Hyperlink"/>
                        <w:rFonts w:ascii="Arial" w:hAnsi="Arial" w:cs="Arial"/>
                        <w:sz w:val="23"/>
                        <w:szCs w:val="23"/>
                        <w:lang w:val="sr-Cyrl-RS"/>
                      </w:rPr>
                      <w:t>index.html</w:t>
                    </w:r>
                    <w:proofErr w:type="spellEnd"/>
                  </w:hyperlink>
                </w:p>
                <w:p w14:paraId="31CA0D17" w14:textId="5D6E2BC2" w:rsidR="0072767D" w:rsidRPr="00CC784E" w:rsidRDefault="0072767D" w:rsidP="00BF541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20"/>
                    <w:jc w:val="both"/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</w:pP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Број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уписаних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студената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акредитовани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студијски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програм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Хемија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за школске 20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1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Latn-RS"/>
                    </w:rPr>
                    <w:t>5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/1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Latn-RS"/>
                    </w:rPr>
                    <w:t>6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, 201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Latn-RS"/>
                    </w:rPr>
                    <w:t>6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/1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Latn-RS"/>
                    </w:rPr>
                    <w:t>7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и 201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Latn-RS"/>
                    </w:rPr>
                    <w:t>7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/1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Latn-RS"/>
                    </w:rPr>
                    <w:t>8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,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приказан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је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у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Табели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4.1. </w:t>
                  </w:r>
                </w:p>
                <w:p w14:paraId="2F650831" w14:textId="77777777" w:rsidR="0072767D" w:rsidRPr="00CC784E" w:rsidRDefault="0072767D" w:rsidP="00BF541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20"/>
                    <w:jc w:val="both"/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</w:pP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Процедура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усвајања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и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одобравања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студијских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програма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састојала се из следећих фаза: студијске програме су предлагали департмани, коначне предлоге је формирало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Наставно-научно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веће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Факултета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, а затим их је разматрало одговарајуће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Н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аучно-стручно веће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Универзитета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и усвојио Сенат Универзитета у Нишу. Акредитовани су следећи студијски програми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: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</w:t>
                  </w:r>
                </w:p>
                <w:p w14:paraId="51F81BA9" w14:textId="77777777" w:rsidR="0072767D" w:rsidRPr="00CC784E" w:rsidRDefault="0072767D" w:rsidP="00BF5413">
                  <w:pPr>
                    <w:autoSpaceDE w:val="0"/>
                    <w:autoSpaceDN w:val="0"/>
                    <w:spacing w:after="0" w:line="240" w:lineRule="auto"/>
                    <w:rPr>
                      <w:rFonts w:ascii="Arial" w:eastAsia="Times New Roman" w:hAnsi="Arial" w:cs="Arial"/>
                      <w:lang w:val="sr-Cyrl-RS"/>
                    </w:rPr>
                  </w:pPr>
                </w:p>
                <w:p w14:paraId="364A16C2" w14:textId="753CCE67" w:rsidR="0072767D" w:rsidRDefault="0072767D" w:rsidP="00BF5413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lang w:val="sr-Cyrl-RS"/>
                    </w:rPr>
                  </w:pPr>
                  <w:r>
                    <w:rPr>
                      <w:rFonts w:ascii="Arial" w:eastAsia="Times New Roman" w:hAnsi="Arial" w:cs="Arial"/>
                      <w:b/>
                      <w:lang w:val="sr-Cyrl-RS"/>
                    </w:rPr>
                    <w:t xml:space="preserve">Табела 4.1. </w:t>
                  </w:r>
                  <w:r w:rsidRPr="005504A4">
                    <w:rPr>
                      <w:rFonts w:ascii="Arial" w:eastAsia="Times New Roman" w:hAnsi="Arial" w:cs="Arial"/>
                      <w:b/>
                      <w:lang w:val="sr-Cyrl-RS"/>
                    </w:rPr>
                    <w:t>Збирни преглед акредитован</w:t>
                  </w:r>
                  <w:r>
                    <w:rPr>
                      <w:rFonts w:ascii="Arial" w:eastAsia="Times New Roman" w:hAnsi="Arial" w:cs="Arial"/>
                      <w:b/>
                      <w:lang w:val="sr-Cyrl-RS"/>
                    </w:rPr>
                    <w:t>ог</w:t>
                  </w:r>
                  <w:r w:rsidRPr="005504A4">
                    <w:rPr>
                      <w:rFonts w:ascii="Arial" w:eastAsia="Times New Roman" w:hAnsi="Arial" w:cs="Arial"/>
                      <w:b/>
                      <w:lang w:val="sr-Cyrl-RS"/>
                    </w:rPr>
                    <w:t xml:space="preserve"> студијск</w:t>
                  </w:r>
                  <w:r>
                    <w:rPr>
                      <w:rFonts w:ascii="Arial" w:eastAsia="Times New Roman" w:hAnsi="Arial" w:cs="Arial"/>
                      <w:b/>
                      <w:lang w:val="sr-Cyrl-RS"/>
                    </w:rPr>
                    <w:t>ог</w:t>
                  </w:r>
                  <w:r w:rsidRPr="005504A4">
                    <w:rPr>
                      <w:rFonts w:ascii="Arial" w:eastAsia="Times New Roman" w:hAnsi="Arial" w:cs="Arial"/>
                      <w:b/>
                      <w:lang w:val="sr-Cyrl-RS"/>
                    </w:rPr>
                    <w:t xml:space="preserve"> програма</w:t>
                  </w:r>
                  <w:r>
                    <w:rPr>
                      <w:rFonts w:ascii="Arial" w:eastAsia="Times New Roman" w:hAnsi="Arial" w:cs="Arial"/>
                      <w:b/>
                      <w:lang w:val="sr-Cyrl-RS"/>
                    </w:rPr>
                    <w:t xml:space="preserve"> Хемија 2014. године</w:t>
                  </w:r>
                  <w:r w:rsidRPr="005504A4">
                    <w:rPr>
                      <w:rFonts w:ascii="Arial" w:eastAsia="Times New Roman" w:hAnsi="Arial" w:cs="Arial"/>
                      <w:b/>
                      <w:lang w:val="sr-Cyrl-RS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b/>
                      <w:lang w:val="sr-Cyrl-RS"/>
                    </w:rPr>
                    <w:br/>
                  </w:r>
                  <w:r w:rsidRPr="005504A4">
                    <w:rPr>
                      <w:rFonts w:ascii="Arial" w:eastAsia="Times New Roman" w:hAnsi="Arial" w:cs="Arial"/>
                      <w:b/>
                      <w:lang w:val="sr-Cyrl-RS"/>
                    </w:rPr>
                    <w:t>који се реализуј</w:t>
                  </w:r>
                  <w:r>
                    <w:rPr>
                      <w:rFonts w:ascii="Arial" w:eastAsia="Times New Roman" w:hAnsi="Arial" w:cs="Arial"/>
                      <w:b/>
                      <w:lang w:val="sr-Cyrl-RS"/>
                    </w:rPr>
                    <w:t>е</w:t>
                  </w:r>
                  <w:r w:rsidRPr="005504A4">
                    <w:rPr>
                      <w:rFonts w:ascii="Arial" w:eastAsia="Times New Roman" w:hAnsi="Arial" w:cs="Arial"/>
                      <w:b/>
                      <w:lang w:val="sr-Cyrl-RS"/>
                    </w:rPr>
                    <w:t xml:space="preserve"> на </w:t>
                  </w:r>
                  <w:proofErr w:type="spellStart"/>
                  <w:r w:rsidRPr="005504A4">
                    <w:rPr>
                      <w:rFonts w:ascii="Arial" w:eastAsia="Times New Roman" w:hAnsi="Arial" w:cs="Arial"/>
                      <w:b/>
                      <w:lang w:val="sr-Cyrl-RS"/>
                    </w:rPr>
                    <w:t>ПМФ</w:t>
                  </w:r>
                  <w:proofErr w:type="spellEnd"/>
                  <w:r w:rsidRPr="005504A4">
                    <w:rPr>
                      <w:rFonts w:ascii="Arial" w:eastAsia="Times New Roman" w:hAnsi="Arial" w:cs="Arial"/>
                      <w:b/>
                      <w:lang w:val="sr-Cyrl-RS"/>
                    </w:rPr>
                    <w:t>-у у Нишу</w:t>
                  </w:r>
                </w:p>
                <w:p w14:paraId="5357EDB0" w14:textId="77777777" w:rsidR="0072767D" w:rsidRDefault="0072767D" w:rsidP="00BF5413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lang w:val="sr-Cyrl-RS"/>
                    </w:rPr>
                  </w:pPr>
                </w:p>
                <w:tbl>
                  <w:tblPr>
                    <w:tblW w:w="8244" w:type="dxa"/>
                    <w:tblInd w:w="327" w:type="dxa"/>
                    <w:tblBorders>
                      <w:top w:val="double" w:sz="4" w:space="0" w:color="auto"/>
                      <w:left w:val="double" w:sz="4" w:space="0" w:color="auto"/>
                      <w:bottom w:val="double" w:sz="4" w:space="0" w:color="auto"/>
                      <w:right w:val="doub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393"/>
                    <w:gridCol w:w="14"/>
                    <w:gridCol w:w="2638"/>
                    <w:gridCol w:w="1599"/>
                    <w:gridCol w:w="1119"/>
                    <w:gridCol w:w="1241"/>
                    <w:gridCol w:w="15"/>
                    <w:gridCol w:w="1225"/>
                  </w:tblGrid>
                  <w:tr w:rsidR="0072767D" w:rsidRPr="00626F64" w14:paraId="0FEEA253" w14:textId="77777777" w:rsidTr="0072767D">
                    <w:trPr>
                      <w:trHeight w:val="52"/>
                    </w:trPr>
                    <w:tc>
                      <w:tcPr>
                        <w:tcW w:w="355" w:type="dxa"/>
                        <w:gridSpan w:val="2"/>
                        <w:vMerge w:val="restart"/>
                        <w:vAlign w:val="center"/>
                      </w:tcPr>
                      <w:p w14:paraId="38C72E65" w14:textId="77777777" w:rsidR="0072767D" w:rsidRPr="006F5DE9" w:rsidRDefault="0072767D" w:rsidP="0072767D">
                        <w:pPr>
                          <w:spacing w:after="0" w:line="240" w:lineRule="auto"/>
                          <w:jc w:val="center"/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</w:pPr>
                        <w:r w:rsidRPr="006F5DE9"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>Р.</w:t>
                        </w:r>
                        <w:r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 xml:space="preserve"> </w:t>
                        </w:r>
                        <w:r w:rsidRPr="006F5DE9"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>б.</w:t>
                        </w:r>
                      </w:p>
                    </w:tc>
                    <w:tc>
                      <w:tcPr>
                        <w:tcW w:w="2829" w:type="dxa"/>
                        <w:vMerge w:val="restart"/>
                        <w:vAlign w:val="center"/>
                      </w:tcPr>
                      <w:p w14:paraId="4C4B9E99" w14:textId="77777777" w:rsidR="0072767D" w:rsidRPr="006F5DE9" w:rsidRDefault="0072767D" w:rsidP="0072767D">
                        <w:pPr>
                          <w:spacing w:after="0" w:line="240" w:lineRule="auto"/>
                          <w:jc w:val="center"/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</w:pPr>
                        <w:r w:rsidRPr="006F5DE9"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>Назив студијског програма и поље</w:t>
                        </w:r>
                      </w:p>
                    </w:tc>
                    <w:tc>
                      <w:tcPr>
                        <w:tcW w:w="1420" w:type="dxa"/>
                        <w:vMerge w:val="restart"/>
                        <w:vAlign w:val="center"/>
                      </w:tcPr>
                      <w:p w14:paraId="0C103F7B" w14:textId="77777777" w:rsidR="0072767D" w:rsidRPr="006F5DE9" w:rsidRDefault="0072767D" w:rsidP="0072767D">
                        <w:pPr>
                          <w:spacing w:after="0" w:line="240" w:lineRule="auto"/>
                          <w:jc w:val="center"/>
                          <w:rPr>
                            <w:rFonts w:ascii="Cambria" w:eastAsia="MS Mincho" w:hAnsi="Cambria"/>
                            <w:b/>
                            <w:i/>
                            <w:lang w:val="sr-Cyrl-CS"/>
                          </w:rPr>
                        </w:pPr>
                        <w:r w:rsidRPr="006F5DE9"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>Укупно акредитован</w:t>
                        </w:r>
                        <w:r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 xml:space="preserve"> </w:t>
                        </w:r>
                        <w:r w:rsidRPr="006F5DE9"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>број студената</w:t>
                        </w:r>
                      </w:p>
                    </w:tc>
                    <w:tc>
                      <w:tcPr>
                        <w:tcW w:w="3639" w:type="dxa"/>
                        <w:gridSpan w:val="4"/>
                        <w:vAlign w:val="center"/>
                      </w:tcPr>
                      <w:p w14:paraId="66601ABD" w14:textId="77777777" w:rsidR="0072767D" w:rsidRPr="006F5DE9" w:rsidRDefault="0072767D" w:rsidP="0072767D">
                        <w:pPr>
                          <w:spacing w:after="0" w:line="240" w:lineRule="auto"/>
                          <w:jc w:val="center"/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</w:pPr>
                        <w:r w:rsidRPr="006F5DE9"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>Укупно уписани број студената на све године студија</w:t>
                        </w:r>
                        <w:r w:rsidRPr="006F5DE9">
                          <w:rPr>
                            <w:rFonts w:ascii="Times New Roman" w:eastAsia="MS Mincho" w:hAnsi="Times New Roman"/>
                            <w:b/>
                            <w:lang w:val="sr-Cyrl-CS"/>
                          </w:rPr>
                          <w:t xml:space="preserve"> </w:t>
                        </w:r>
                        <w:r w:rsidRPr="006F5DE9"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 xml:space="preserve">у последње 3 године </w:t>
                        </w:r>
                        <w:r w:rsidRPr="006F5DE9">
                          <w:rPr>
                            <w:rFonts w:ascii="Times New Roman" w:eastAsia="MS Mincho" w:hAnsi="Times New Roman"/>
                            <w:b/>
                            <w:lang w:val="sr-Cyrl-CS"/>
                          </w:rPr>
                          <w:t xml:space="preserve"> </w:t>
                        </w:r>
                      </w:p>
                    </w:tc>
                  </w:tr>
                  <w:tr w:rsidR="0072767D" w:rsidRPr="00626F64" w14:paraId="7F8C20FB" w14:textId="77777777" w:rsidTr="0072767D">
                    <w:trPr>
                      <w:trHeight w:val="108"/>
                    </w:trPr>
                    <w:tc>
                      <w:tcPr>
                        <w:tcW w:w="355" w:type="dxa"/>
                        <w:gridSpan w:val="2"/>
                        <w:vMerge/>
                        <w:tcBorders>
                          <w:bottom w:val="double" w:sz="4" w:space="0" w:color="auto"/>
                        </w:tcBorders>
                        <w:vAlign w:val="center"/>
                      </w:tcPr>
                      <w:p w14:paraId="50D5FF93" w14:textId="77777777" w:rsidR="0072767D" w:rsidRPr="006F5DE9" w:rsidRDefault="0072767D" w:rsidP="0072767D">
                        <w:pPr>
                          <w:spacing w:after="0" w:line="240" w:lineRule="auto"/>
                          <w:jc w:val="center"/>
                          <w:rPr>
                            <w:rFonts w:ascii="Cambria" w:eastAsia="MS Mincho" w:hAnsi="Cambria"/>
                            <w:lang w:val="sr-Cyrl-CS"/>
                          </w:rPr>
                        </w:pPr>
                      </w:p>
                    </w:tc>
                    <w:tc>
                      <w:tcPr>
                        <w:tcW w:w="2829" w:type="dxa"/>
                        <w:vMerge/>
                        <w:tcBorders>
                          <w:bottom w:val="double" w:sz="4" w:space="0" w:color="auto"/>
                        </w:tcBorders>
                        <w:vAlign w:val="center"/>
                      </w:tcPr>
                      <w:p w14:paraId="3CBA97CC" w14:textId="77777777" w:rsidR="0072767D" w:rsidRPr="006F5DE9" w:rsidRDefault="0072767D" w:rsidP="0072767D">
                        <w:pPr>
                          <w:spacing w:after="0" w:line="240" w:lineRule="auto"/>
                          <w:jc w:val="center"/>
                          <w:rPr>
                            <w:rFonts w:ascii="Cambria" w:eastAsia="MS Mincho" w:hAnsi="Cambria"/>
                            <w:lang w:val="sr-Cyrl-CS"/>
                          </w:rPr>
                        </w:pPr>
                      </w:p>
                    </w:tc>
                    <w:tc>
                      <w:tcPr>
                        <w:tcW w:w="1420" w:type="dxa"/>
                        <w:vMerge/>
                        <w:tcBorders>
                          <w:bottom w:val="double" w:sz="4" w:space="0" w:color="auto"/>
                        </w:tcBorders>
                        <w:vAlign w:val="center"/>
                      </w:tcPr>
                      <w:p w14:paraId="5D5E4E71" w14:textId="77777777" w:rsidR="0072767D" w:rsidRPr="006F5DE9" w:rsidRDefault="0072767D" w:rsidP="0072767D">
                        <w:pPr>
                          <w:spacing w:after="0" w:line="240" w:lineRule="auto"/>
                          <w:jc w:val="center"/>
                          <w:rPr>
                            <w:rFonts w:ascii="Cambria" w:eastAsia="MS Mincho" w:hAnsi="Cambria"/>
                            <w:lang w:val="sr-Cyrl-CS"/>
                          </w:rPr>
                        </w:pPr>
                      </w:p>
                    </w:tc>
                    <w:tc>
                      <w:tcPr>
                        <w:tcW w:w="1120" w:type="dxa"/>
                        <w:tcBorders>
                          <w:bottom w:val="double" w:sz="4" w:space="0" w:color="auto"/>
                        </w:tcBorders>
                        <w:vAlign w:val="center"/>
                      </w:tcPr>
                      <w:p w14:paraId="05F41D05" w14:textId="77777777" w:rsidR="0072767D" w:rsidRPr="004152A6" w:rsidRDefault="0072767D" w:rsidP="0072767D">
                        <w:pPr>
                          <w:spacing w:after="0" w:line="240" w:lineRule="auto"/>
                          <w:jc w:val="center"/>
                          <w:rPr>
                            <w:rFonts w:ascii="Cambria" w:eastAsia="MS Mincho" w:hAnsi="Cambria"/>
                            <w:b/>
                          </w:rPr>
                        </w:pPr>
                        <w:r w:rsidRPr="006F5DE9"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>20</w:t>
                        </w:r>
                        <w:r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>1</w:t>
                        </w:r>
                        <w:r>
                          <w:rPr>
                            <w:rFonts w:ascii="Cambria" w:eastAsia="MS Mincho" w:hAnsi="Cambria"/>
                            <w:b/>
                          </w:rPr>
                          <w:t>5</w:t>
                        </w:r>
                        <w:r w:rsidRPr="006F5DE9"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>/1</w:t>
                        </w:r>
                        <w:r>
                          <w:rPr>
                            <w:rFonts w:ascii="Cambria" w:eastAsia="MS Mincho" w:hAnsi="Cambria"/>
                            <w:b/>
                          </w:rPr>
                          <w:t>6</w:t>
                        </w:r>
                      </w:p>
                    </w:tc>
                    <w:tc>
                      <w:tcPr>
                        <w:tcW w:w="1261" w:type="dxa"/>
                        <w:tcBorders>
                          <w:bottom w:val="double" w:sz="4" w:space="0" w:color="auto"/>
                        </w:tcBorders>
                        <w:vAlign w:val="center"/>
                      </w:tcPr>
                      <w:p w14:paraId="010A05BD" w14:textId="77777777" w:rsidR="0072767D" w:rsidRPr="004152A6" w:rsidRDefault="0072767D" w:rsidP="0072767D">
                        <w:pPr>
                          <w:spacing w:after="0" w:line="240" w:lineRule="auto"/>
                          <w:jc w:val="center"/>
                          <w:rPr>
                            <w:rFonts w:ascii="Cambria" w:eastAsia="MS Mincho" w:hAnsi="Cambria"/>
                            <w:b/>
                          </w:rPr>
                        </w:pPr>
                        <w:r w:rsidRPr="006F5DE9"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>201</w:t>
                        </w:r>
                        <w:r>
                          <w:rPr>
                            <w:rFonts w:ascii="Cambria" w:eastAsia="MS Mincho" w:hAnsi="Cambria"/>
                            <w:b/>
                          </w:rPr>
                          <w:t>6</w:t>
                        </w:r>
                        <w:r w:rsidRPr="006F5DE9"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>/1</w:t>
                        </w:r>
                        <w:r>
                          <w:rPr>
                            <w:rFonts w:ascii="Cambria" w:eastAsia="MS Mincho" w:hAnsi="Cambria"/>
                            <w:b/>
                          </w:rPr>
                          <w:t>7</w:t>
                        </w:r>
                      </w:p>
                    </w:tc>
                    <w:tc>
                      <w:tcPr>
                        <w:tcW w:w="1257" w:type="dxa"/>
                        <w:gridSpan w:val="2"/>
                        <w:tcBorders>
                          <w:bottom w:val="double" w:sz="4" w:space="0" w:color="auto"/>
                        </w:tcBorders>
                        <w:vAlign w:val="center"/>
                      </w:tcPr>
                      <w:p w14:paraId="788ACA9F" w14:textId="77777777" w:rsidR="0072767D" w:rsidRPr="004152A6" w:rsidRDefault="0072767D" w:rsidP="0072767D">
                        <w:pPr>
                          <w:spacing w:after="0" w:line="240" w:lineRule="auto"/>
                          <w:jc w:val="center"/>
                          <w:rPr>
                            <w:rFonts w:ascii="Cambria" w:eastAsia="MS Mincho" w:hAnsi="Cambria"/>
                            <w:b/>
                          </w:rPr>
                        </w:pPr>
                        <w:r w:rsidRPr="006F5DE9"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>201</w:t>
                        </w:r>
                        <w:r>
                          <w:rPr>
                            <w:rFonts w:ascii="Cambria" w:eastAsia="MS Mincho" w:hAnsi="Cambria"/>
                            <w:b/>
                          </w:rPr>
                          <w:t>7</w:t>
                        </w:r>
                        <w:r w:rsidRPr="006F5DE9"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>/1</w:t>
                        </w:r>
                        <w:r>
                          <w:rPr>
                            <w:rFonts w:ascii="Cambria" w:eastAsia="MS Mincho" w:hAnsi="Cambria"/>
                            <w:b/>
                          </w:rPr>
                          <w:t>8</w:t>
                        </w:r>
                      </w:p>
                    </w:tc>
                  </w:tr>
                  <w:tr w:rsidR="0072767D" w:rsidRPr="00626F64" w14:paraId="79C50173" w14:textId="77777777" w:rsidTr="0072767D">
                    <w:trPr>
                      <w:trHeight w:val="346"/>
                    </w:trPr>
                    <w:tc>
                      <w:tcPr>
                        <w:tcW w:w="8244" w:type="dxa"/>
                        <w:gridSpan w:val="8"/>
                        <w:tcBorders>
                          <w:top w:val="double" w:sz="4" w:space="0" w:color="auto"/>
                          <w:bottom w:val="double" w:sz="4" w:space="0" w:color="auto"/>
                        </w:tcBorders>
                      </w:tcPr>
                      <w:p w14:paraId="3DDA463A" w14:textId="77777777" w:rsidR="0072767D" w:rsidRPr="006F5DE9" w:rsidRDefault="0072767D" w:rsidP="0072767D">
                        <w:pPr>
                          <w:spacing w:before="120" w:after="120" w:line="240" w:lineRule="auto"/>
                          <w:jc w:val="both"/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</w:pPr>
                        <w:proofErr w:type="spellStart"/>
                        <w:r w:rsidRPr="006F5DE9"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>МAС</w:t>
                        </w:r>
                        <w:proofErr w:type="spellEnd"/>
                        <w:r w:rsidRPr="006F5DE9"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 xml:space="preserve"> </w:t>
                        </w:r>
                        <w:r>
                          <w:rPr>
                            <w:rFonts w:ascii="Cambria" w:eastAsia="MS Mincho" w:hAnsi="Cambria"/>
                            <w:b/>
                          </w:rPr>
                          <w:t>-</w:t>
                        </w:r>
                        <w:r w:rsidRPr="006F5DE9">
                          <w:rPr>
                            <w:rFonts w:ascii="Cambria" w:eastAsia="MS Mincho" w:hAnsi="Cambria"/>
                            <w:b/>
                            <w:lang w:val="sr-Cyrl-CS"/>
                          </w:rPr>
                          <w:t xml:space="preserve"> Мастер академске студије </w:t>
                        </w:r>
                      </w:p>
                    </w:tc>
                  </w:tr>
                  <w:tr w:rsidR="0072767D" w:rsidRPr="00626F64" w14:paraId="526380C1" w14:textId="77777777" w:rsidTr="0072767D">
                    <w:trPr>
                      <w:trHeight w:val="181"/>
                    </w:trPr>
                    <w:tc>
                      <w:tcPr>
                        <w:tcW w:w="340" w:type="dxa"/>
                      </w:tcPr>
                      <w:p w14:paraId="15D58593" w14:textId="77777777" w:rsidR="0072767D" w:rsidRPr="00747C77" w:rsidRDefault="0072767D" w:rsidP="0072767D">
                        <w:pPr>
                          <w:spacing w:after="0" w:line="240" w:lineRule="auto"/>
                          <w:jc w:val="both"/>
                          <w:rPr>
                            <w:rFonts w:ascii="Cambria" w:eastAsia="MS Mincho" w:hAnsi="Cambria"/>
                            <w:lang w:val="sr-Cyrl-CS"/>
                          </w:rPr>
                        </w:pPr>
                        <w:r>
                          <w:rPr>
                            <w:rFonts w:ascii="Cambria" w:eastAsia="MS Mincho" w:hAnsi="Cambria"/>
                            <w:lang w:val="sr-Latn-RS"/>
                          </w:rPr>
                          <w:t>1</w:t>
                        </w:r>
                        <w:r w:rsidRPr="00747C77">
                          <w:rPr>
                            <w:rFonts w:ascii="Cambria" w:eastAsia="MS Mincho" w:hAnsi="Cambria"/>
                            <w:lang w:val="sr-Cyrl-CS"/>
                          </w:rPr>
                          <w:t>.</w:t>
                        </w:r>
                      </w:p>
                    </w:tc>
                    <w:tc>
                      <w:tcPr>
                        <w:tcW w:w="2844" w:type="dxa"/>
                        <w:gridSpan w:val="2"/>
                      </w:tcPr>
                      <w:p w14:paraId="3B72285A" w14:textId="77777777" w:rsidR="0072767D" w:rsidRPr="00747C77" w:rsidRDefault="0072767D" w:rsidP="0072767D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val="sr-Cyrl-RS" w:eastAsia="sr-Latn-RS"/>
                          </w:rPr>
                        </w:pPr>
                        <w:r w:rsidRPr="00C1560C">
                          <w:rPr>
                            <w:rFonts w:ascii="Times New Roman" w:eastAsia="MS Mincho" w:hAnsi="Times New Roman"/>
                            <w:sz w:val="24"/>
                            <w:szCs w:val="24"/>
                            <w:lang w:val="sr-Cyrl-CS"/>
                          </w:rPr>
                          <w:t>Хемија</w:t>
                        </w:r>
                      </w:p>
                    </w:tc>
                    <w:tc>
                      <w:tcPr>
                        <w:tcW w:w="1420" w:type="dxa"/>
                      </w:tcPr>
                      <w:p w14:paraId="2582D745" w14:textId="77777777" w:rsidR="0072767D" w:rsidRPr="00567C28" w:rsidRDefault="0072767D" w:rsidP="0072767D">
                        <w:pPr>
                          <w:spacing w:after="0" w:line="240" w:lineRule="auto"/>
                          <w:jc w:val="both"/>
                          <w:rPr>
                            <w:rFonts w:ascii="Cambria" w:eastAsia="MS Mincho" w:hAnsi="Cambria"/>
                          </w:rPr>
                        </w:pPr>
                        <w:r>
                          <w:rPr>
                            <w:rFonts w:ascii="Cambria" w:eastAsia="MS Mincho" w:hAnsi="Cambria"/>
                          </w:rPr>
                          <w:t>40</w:t>
                        </w:r>
                      </w:p>
                    </w:tc>
                    <w:tc>
                      <w:tcPr>
                        <w:tcW w:w="1120" w:type="dxa"/>
                      </w:tcPr>
                      <w:p w14:paraId="27892BFD" w14:textId="77777777" w:rsidR="0072767D" w:rsidRPr="006F5DE9" w:rsidRDefault="0072767D" w:rsidP="0072767D">
                        <w:pPr>
                          <w:spacing w:after="0" w:line="240" w:lineRule="auto"/>
                          <w:jc w:val="both"/>
                          <w:rPr>
                            <w:rFonts w:ascii="Cambria" w:eastAsia="MS Mincho" w:hAnsi="Cambria"/>
                            <w:lang w:val="sr-Cyrl-CS"/>
                          </w:rPr>
                        </w:pPr>
                        <w:r>
                          <w:rPr>
                            <w:rFonts w:ascii="Cambria" w:eastAsia="MS Mincho" w:hAnsi="Cambria"/>
                            <w:lang w:val="sr-Cyrl-CS"/>
                          </w:rPr>
                          <w:t>14</w:t>
                        </w:r>
                      </w:p>
                    </w:tc>
                    <w:tc>
                      <w:tcPr>
                        <w:tcW w:w="1276" w:type="dxa"/>
                        <w:gridSpan w:val="2"/>
                      </w:tcPr>
                      <w:p w14:paraId="54694C0C" w14:textId="77777777" w:rsidR="0072767D" w:rsidRPr="006F5DE9" w:rsidRDefault="0072767D" w:rsidP="0072767D">
                        <w:pPr>
                          <w:spacing w:after="0" w:line="240" w:lineRule="auto"/>
                          <w:jc w:val="both"/>
                          <w:rPr>
                            <w:rFonts w:ascii="Cambria" w:eastAsia="MS Mincho" w:hAnsi="Cambria"/>
                            <w:lang w:val="sr-Cyrl-CS"/>
                          </w:rPr>
                        </w:pPr>
                        <w:r>
                          <w:rPr>
                            <w:rFonts w:ascii="Cambria" w:eastAsia="MS Mincho" w:hAnsi="Cambria"/>
                            <w:lang w:val="sr-Cyrl-CS"/>
                          </w:rPr>
                          <w:t>20</w:t>
                        </w:r>
                      </w:p>
                    </w:tc>
                    <w:tc>
                      <w:tcPr>
                        <w:tcW w:w="1242" w:type="dxa"/>
                      </w:tcPr>
                      <w:p w14:paraId="6697389B" w14:textId="77777777" w:rsidR="0072767D" w:rsidRPr="006F5DE9" w:rsidRDefault="0072767D" w:rsidP="0072767D">
                        <w:pPr>
                          <w:spacing w:after="0" w:line="240" w:lineRule="auto"/>
                          <w:jc w:val="both"/>
                          <w:rPr>
                            <w:rFonts w:ascii="Cambria" w:eastAsia="MS Mincho" w:hAnsi="Cambria"/>
                            <w:lang w:val="sr-Cyrl-CS"/>
                          </w:rPr>
                        </w:pPr>
                        <w:r>
                          <w:rPr>
                            <w:rFonts w:ascii="Cambria" w:eastAsia="MS Mincho" w:hAnsi="Cambria"/>
                            <w:lang w:val="sr-Cyrl-CS"/>
                          </w:rPr>
                          <w:t>23</w:t>
                        </w:r>
                      </w:p>
                    </w:tc>
                  </w:tr>
                </w:tbl>
                <w:p w14:paraId="51CA8786" w14:textId="77777777" w:rsidR="0072767D" w:rsidRPr="005504A4" w:rsidRDefault="0072767D" w:rsidP="00BF5413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</w:rPr>
                  </w:pPr>
                </w:p>
                <w:p w14:paraId="61BDF28C" w14:textId="1CC84279" w:rsidR="0072767D" w:rsidRPr="00CC784E" w:rsidRDefault="0072767D" w:rsidP="00BF5413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0" w:firstLine="720"/>
                    <w:jc w:val="both"/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</w:pP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У периоду након акредитације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од 2014. до 201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Latn-RS"/>
                    </w:rPr>
                    <w:t>8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.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, Факултет је вршио анализу и корекцију студијских програма. У реализацију ових активности били су укључени студенти, кроз студентску евалуацију и анкетирање, и учешћем њихових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представ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softHyphen/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ника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у раду Наставно-научног већа и Комисије за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обезбеђење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квалитета. Процењи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softHyphen/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вање квалитета се вршило пре свега у погледу циљева, структуре и садржаја студијск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ог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програма, исхода учења и радног оптерећења студената.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8898"/>
                  </w:tblGrid>
                  <w:tr w:rsidR="0072767D" w:rsidRPr="00CC784E" w14:paraId="17C5C0A6" w14:textId="77777777" w:rsidTr="00BF5413">
                    <w:trPr>
                      <w:trHeight w:val="2217"/>
                    </w:trPr>
                    <w:tc>
                      <w:tcPr>
                        <w:tcW w:w="0" w:type="auto"/>
                      </w:tcPr>
                      <w:p w14:paraId="4F0EE104" w14:textId="6821A82A" w:rsidR="0072767D" w:rsidRPr="00CC784E" w:rsidRDefault="0072767D" w:rsidP="00BF5413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55" w:firstLine="567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  <w:r w:rsidRPr="004A382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Исходи учења дефинисани су за сваки предмет понаособ у оквиру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proofErr w:type="spellStart"/>
                        <w:r w:rsidRPr="004A382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акредитовани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ог</w:t>
                        </w:r>
                        <w:proofErr w:type="spellEnd"/>
                        <w:r w:rsidRPr="004A382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студијск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ог</w:t>
                        </w:r>
                        <w:r w:rsidRPr="004A382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програма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Хемија на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МАС</w:t>
                        </w:r>
                        <w:proofErr w:type="spellEnd"/>
                        <w:r w:rsidRPr="004A382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.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Исходи</w:t>
                        </w:r>
                        <w:r w:rsidRPr="004A382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студијск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ог</w:t>
                        </w:r>
                        <w:r w:rsidRPr="004A382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програма усклађени су са исходима учења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у оквиру премета</w:t>
                        </w:r>
                        <w:r w:rsidRPr="004A382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и доступни су јавности. Исходи учења су усаглашени са поступцима за проверу знања и оцењивање.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</w:p>
                      <w:p w14:paraId="08DB2F79" w14:textId="438C2DD3" w:rsidR="0072767D" w:rsidRDefault="0072767D" w:rsidP="00BF5413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0" w:firstLine="512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Осмишљавање курсева и студијског програма, њихова организација, наставне методе и стратегије, као и поступци провере знања и оцењивања се вршени су приступом заснованим на исходима,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чиме се студент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ставља у центар наставног процеса.</w:t>
                        </w:r>
                      </w:p>
                      <w:p w14:paraId="5BB8E057" w14:textId="77777777" w:rsidR="0072767D" w:rsidRPr="00CC784E" w:rsidRDefault="0072767D" w:rsidP="00BF5413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0" w:firstLine="512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Исходе учења појединих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предмета дефинишу наставници и сарадници ангажовани на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предмету.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Х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армонизациј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у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и надовезивање исхода учења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кроз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lastRenderedPageBreak/>
                          <w:t>већи број предмета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студијског програма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врше к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омисије за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акредитацију у оквиру департмана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.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Дефинисани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исходи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, стратегија наставе и учења која ће омогућити студентима да савладају исходе учења, методе провере постигнућа исхода учења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опредељују садржај наставног програма и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његову организацију.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Комисије за акредитацију и комисије за обезбеђење квалитета у светлу повратних информација, уколико је потребно, модификују садржај курса и методе провере знања.</w:t>
                        </w:r>
                      </w:p>
                      <w:p w14:paraId="5E8349F6" w14:textId="77777777" w:rsidR="0072767D" w:rsidRDefault="0072767D" w:rsidP="00BF5413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0" w:firstLine="512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Процен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а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постигнућа студената у постизању намераваних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исхода учења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се врши на основу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личних процена студената и наставника (анкетирање)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, на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исказима послодаваца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(анкетирање)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, као и на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квалификованости студената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за упис на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следећи ниво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студија или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запослења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у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струци.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Процена је да Природно-математички факултет реализује планиране исходе учења. Резултати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анкета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показују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да су послодавци задовољни запосленима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,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који завршавају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Природно-математички факултет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.</w:t>
                        </w:r>
                      </w:p>
                      <w:p w14:paraId="6DB952D5" w14:textId="77777777" w:rsidR="0072767D" w:rsidRPr="00CC784E" w:rsidRDefault="0072767D" w:rsidP="00BF541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720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Наставници су за сваки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предмет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дефинисали радно оптерећење студената кроз број сати потребних за савладавање програма. Примењена је формула за рачунање оптерећења заснована на европским стандардима. Конкретно, 1 </w:t>
                        </w:r>
                        <w:proofErr w:type="spellStart"/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ЕСПБ</w:t>
                        </w:r>
                        <w:proofErr w:type="spellEnd"/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бод рачунат је као 2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5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сати рада. На пример, за предмет који носи 5 </w:t>
                        </w:r>
                        <w:proofErr w:type="spellStart"/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ЕСПБ</w:t>
                        </w:r>
                        <w:proofErr w:type="spellEnd"/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оптерећењ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е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студената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је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укупно 1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2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5 сати, а ако се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тај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предмет реализује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кроз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фонд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часова 2 + 2 + 0 + 0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, 60 сати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је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проведено у настави, што оставља максимално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6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5 сати за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учење,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домаће задатке, пројекте, и читање литературе. </w:t>
                        </w:r>
                      </w:p>
                      <w:p w14:paraId="79ABA7DE" w14:textId="77777777" w:rsidR="0072767D" w:rsidRDefault="0072767D" w:rsidP="00BF541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720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  <w:r w:rsidRPr="00653196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На конкретном примеру једног предмета за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природно-математичко</w:t>
                        </w:r>
                        <w:r w:rsidRPr="00653196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научно поље и научну област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Хемија</w:t>
                        </w:r>
                        <w:r w:rsidRPr="00653196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дат је</w:t>
                        </w:r>
                        <w:r w:rsidRPr="00653196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опис активности учења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653196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потребних за достизање очекиваних исхода учења (време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653196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проведено на активностима које директно води наставно особље,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653196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време проведено у самосталном раду, време потребно за припрему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653196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за проверу знања и време обухваћено самом провером знања),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653196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кроз удео ових активности у укупној вредности </w:t>
                        </w:r>
                        <w:proofErr w:type="spellStart"/>
                        <w:r w:rsidRPr="00653196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ЕСПБ</w:t>
                        </w:r>
                        <w:proofErr w:type="spellEnd"/>
                        <w:r w:rsidRPr="00653196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за дати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653196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предмет.</w:t>
                        </w:r>
                      </w:p>
                      <w:p w14:paraId="4953DE78" w14:textId="77777777" w:rsidR="0072767D" w:rsidRDefault="0072767D" w:rsidP="00BF541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720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Уколико се примени правило да је 1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ЕСПБ</w:t>
                        </w:r>
                        <w:proofErr w:type="spellEnd"/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25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сати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добија се оптерећење</w:t>
                        </w:r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197,2 ч </w:t>
                        </w:r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/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25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ч </w:t>
                        </w:r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=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7,9</w:t>
                        </w:r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proofErr w:type="spellStart"/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ЕСПБ</w:t>
                        </w:r>
                        <w:proofErr w:type="spellEnd"/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, а рачунањем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да је 1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ЕСПБ</w:t>
                        </w:r>
                        <w:proofErr w:type="spellEnd"/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30 </w:t>
                        </w:r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сати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добија се оптерећење 197,2 ч </w:t>
                        </w:r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/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30 ч </w:t>
                        </w:r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=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6,6</w:t>
                        </w:r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proofErr w:type="spellStart"/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ЕСПБ</w:t>
                        </w:r>
                        <w:proofErr w:type="spellEnd"/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. Одлучено је да се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предмету додели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8</w:t>
                        </w:r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proofErr w:type="spellStart"/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ЕСПБ</w:t>
                        </w:r>
                        <w:proofErr w:type="spellEnd"/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, што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је након прикупљања повратних информација од студената и потврђено као добра процена</w:t>
                        </w:r>
                        <w:r w:rsidRPr="00675397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.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Процена оптерећења студената неопходног за постизање задатих исхода учења (</w:t>
                        </w:r>
                        <w:proofErr w:type="spellStart"/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ЕСПБ</w:t>
                        </w:r>
                        <w:proofErr w:type="spellEnd"/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) предмет је провере, а утврђује се на основу праћења и прикупљања повратних информација од студената</w:t>
                        </w:r>
                      </w:p>
                      <w:p w14:paraId="318A6DF2" w14:textId="77777777" w:rsidR="0072767D" w:rsidRDefault="0072767D" w:rsidP="00BF541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720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</w:p>
                      <w:p w14:paraId="26A8BA47" w14:textId="77777777" w:rsidR="0072767D" w:rsidRDefault="0072767D" w:rsidP="00BF541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720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</w:p>
                      <w:tbl>
                        <w:tblPr>
                          <w:tblStyle w:val="TableGrid"/>
                          <w:tblW w:w="0" w:type="auto"/>
                          <w:tblInd w:w="817" w:type="dxa"/>
                          <w:tblLook w:val="04A0" w:firstRow="1" w:lastRow="0" w:firstColumn="1" w:lastColumn="0" w:noHBand="0" w:noVBand="1"/>
                        </w:tblPr>
                        <w:tblGrid>
                          <w:gridCol w:w="2468"/>
                          <w:gridCol w:w="1359"/>
                          <w:gridCol w:w="3261"/>
                        </w:tblGrid>
                        <w:tr w:rsidR="0072767D" w:rsidRPr="00675397" w14:paraId="19C0B39C" w14:textId="77777777" w:rsidTr="00BF5413">
                          <w:tc>
                            <w:tcPr>
                              <w:tcW w:w="2468" w:type="dxa"/>
                              <w:shd w:val="clear" w:color="auto" w:fill="F2F2F2" w:themeFill="background1" w:themeFillShade="F2"/>
                            </w:tcPr>
                            <w:p w14:paraId="31FEF5B5" w14:textId="77777777" w:rsidR="0072767D" w:rsidRPr="00675397" w:rsidRDefault="0072767D" w:rsidP="00BF5413">
                              <w:pPr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b/>
                                  <w:lang w:val="sr-Cyrl-RS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  <w:b/>
                                </w:rPr>
                                <w:t>Обавезе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  <w:b/>
                                </w:rPr>
                                <w:t xml:space="preserve"> 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  <w:b/>
                                </w:rPr>
                                <w:t>студената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359" w:type="dxa"/>
                              <w:shd w:val="clear" w:color="auto" w:fill="F2F2F2" w:themeFill="background1" w:themeFillShade="F2"/>
                            </w:tcPr>
                            <w:p w14:paraId="1D24F846" w14:textId="77777777" w:rsidR="0072767D" w:rsidRPr="00675397" w:rsidRDefault="0072767D" w:rsidP="00BF5413">
                              <w:pPr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b/>
                                  <w:lang w:val="sr-Cyrl-RS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  <w:b/>
                                </w:rPr>
                                <w:t>Остварени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  <w:b/>
                                </w:rPr>
                                <w:t xml:space="preserve"> 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  <w:b/>
                                </w:rPr>
                                <w:t>поени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3261" w:type="dxa"/>
                              <w:shd w:val="clear" w:color="auto" w:fill="F2F2F2" w:themeFill="background1" w:themeFillShade="F2"/>
                            </w:tcPr>
                            <w:p w14:paraId="2E554EE7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b/>
                                  <w:lang w:val="sr-Cyrl-RS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  <w:b/>
                                </w:rPr>
                                <w:t>Сати</w:t>
                              </w:r>
                              <w:proofErr w:type="spellEnd"/>
                            </w:p>
                          </w:tc>
                        </w:tr>
                        <w:tr w:rsidR="0072767D" w:rsidRPr="00675397" w14:paraId="5DDDF85A" w14:textId="77777777" w:rsidTr="00BF5413">
                          <w:tc>
                            <w:tcPr>
                              <w:tcW w:w="7088" w:type="dxa"/>
                              <w:gridSpan w:val="3"/>
                            </w:tcPr>
                            <w:p w14:paraId="10B72A49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Предиспитне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 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обавезе</w:t>
                              </w:r>
                              <w:proofErr w:type="spellEnd"/>
                            </w:p>
                          </w:tc>
                        </w:tr>
                        <w:tr w:rsidR="0072767D" w:rsidRPr="00675397" w14:paraId="0BFAFDE2" w14:textId="77777777" w:rsidTr="00BF5413">
                          <w:tc>
                            <w:tcPr>
                              <w:tcW w:w="2468" w:type="dxa"/>
                            </w:tcPr>
                            <w:p w14:paraId="278D79A0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Предавања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:</w:t>
                              </w:r>
                            </w:p>
                            <w:p w14:paraId="797FBC4C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>4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 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часа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 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недељно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359" w:type="dxa"/>
                            </w:tcPr>
                            <w:p w14:paraId="3467B342" w14:textId="77777777" w:rsidR="0072767D" w:rsidRPr="00675397" w:rsidRDefault="0072767D" w:rsidP="00BF5413">
                              <w:pPr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</w:p>
                          </w:tc>
                          <w:tc>
                            <w:tcPr>
                              <w:tcW w:w="3261" w:type="dxa"/>
                            </w:tcPr>
                            <w:p w14:paraId="0954CA5D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4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x 1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5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x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45 мин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=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45 ч</w:t>
                              </w:r>
                            </w:p>
                            <w:p w14:paraId="14E40E08" w14:textId="77777777" w:rsidR="0072767D" w:rsidRPr="00675397" w:rsidRDefault="0072767D" w:rsidP="00BF5413">
                              <w:pPr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</w:p>
                          </w:tc>
                        </w:tr>
                        <w:tr w:rsidR="0072767D" w:rsidRPr="00675397" w14:paraId="18EE50E8" w14:textId="77777777" w:rsidTr="00BF5413">
                          <w:tc>
                            <w:tcPr>
                              <w:tcW w:w="2468" w:type="dxa"/>
                            </w:tcPr>
                            <w:p w14:paraId="36EA8AB0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Вежбе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:</w:t>
                              </w:r>
                            </w:p>
                            <w:p w14:paraId="5ED755A1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2 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часа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 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недељно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359" w:type="dxa"/>
                            </w:tcPr>
                            <w:p w14:paraId="05FCFD93" w14:textId="77777777" w:rsidR="0072767D" w:rsidRPr="00675397" w:rsidRDefault="0072767D" w:rsidP="00BF5413">
                              <w:pPr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</w:p>
                          </w:tc>
                          <w:tc>
                            <w:tcPr>
                              <w:tcW w:w="3261" w:type="dxa"/>
                            </w:tcPr>
                            <w:p w14:paraId="55989C16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2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x 1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5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x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45 мин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=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22,5 ч</w:t>
                              </w:r>
                            </w:p>
                            <w:p w14:paraId="5AA8CDDC" w14:textId="77777777" w:rsidR="0072767D" w:rsidRPr="00675397" w:rsidRDefault="0072767D" w:rsidP="00BF5413">
                              <w:pPr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</w:p>
                          </w:tc>
                        </w:tr>
                        <w:tr w:rsidR="0072767D" w:rsidRPr="00675397" w14:paraId="1613E02D" w14:textId="77777777" w:rsidTr="00BF5413">
                          <w:tc>
                            <w:tcPr>
                              <w:tcW w:w="2468" w:type="dxa"/>
                            </w:tcPr>
                            <w:p w14:paraId="09A2A1E9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Лабораторијске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 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вежбе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:</w:t>
                              </w:r>
                            </w:p>
                            <w:p w14:paraId="3F2A2204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>1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 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вежб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>а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 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недељно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359" w:type="dxa"/>
                            </w:tcPr>
                            <w:p w14:paraId="4E67BA09" w14:textId="77777777" w:rsidR="0072767D" w:rsidRPr="00675397" w:rsidRDefault="0072767D" w:rsidP="00BF5413">
                              <w:pPr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3261" w:type="dxa"/>
                            </w:tcPr>
                            <w:p w14:paraId="7C58C927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припрема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: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1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x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15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x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1 ч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=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15 ч</w:t>
                              </w:r>
                            </w:p>
                            <w:p w14:paraId="7529CDDB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израда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: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1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x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15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x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45 мин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=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11,2 ч</w:t>
                              </w:r>
                            </w:p>
                            <w:p w14:paraId="5FCB51F4" w14:textId="77777777" w:rsidR="0072767D" w:rsidRPr="00675397" w:rsidRDefault="0072767D" w:rsidP="00BF5413">
                              <w:pPr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укупно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: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26,2 ч</w:t>
                              </w:r>
                            </w:p>
                          </w:tc>
                        </w:tr>
                        <w:tr w:rsidR="0072767D" w:rsidRPr="00675397" w14:paraId="67303153" w14:textId="77777777" w:rsidTr="00BF5413">
                          <w:tc>
                            <w:tcPr>
                              <w:tcW w:w="2468" w:type="dxa"/>
                            </w:tcPr>
                            <w:p w14:paraId="138BCC5B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Колоквијуми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:</w:t>
                              </w:r>
                            </w:p>
                            <w:p w14:paraId="752B86C3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</w:rPr>
                              </w:pP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>2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 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теста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 у 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трајању</w:t>
                              </w:r>
                              <w:proofErr w:type="spellEnd"/>
                            </w:p>
                            <w:p w14:paraId="21DDE087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од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 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по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 45 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минута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359" w:type="dxa"/>
                            </w:tcPr>
                            <w:p w14:paraId="57FB4DEB" w14:textId="77777777" w:rsidR="0072767D" w:rsidRPr="00675397" w:rsidRDefault="0072767D" w:rsidP="00BF5413">
                              <w:pPr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2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x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2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0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=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40</w:t>
                              </w:r>
                            </w:p>
                          </w:tc>
                          <w:tc>
                            <w:tcPr>
                              <w:tcW w:w="3261" w:type="dxa"/>
                            </w:tcPr>
                            <w:p w14:paraId="5EE91705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припрема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: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2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x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25 ч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=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50 ч</w:t>
                              </w:r>
                            </w:p>
                            <w:p w14:paraId="2F25152D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израда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: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2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x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45 мин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=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1,5 ч</w:t>
                              </w:r>
                            </w:p>
                            <w:p w14:paraId="3CAA2A94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укупно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: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>51,5 ч</w:t>
                              </w:r>
                            </w:p>
                          </w:tc>
                        </w:tr>
                        <w:tr w:rsidR="0072767D" w:rsidRPr="00675397" w14:paraId="619CC1FF" w14:textId="77777777" w:rsidTr="00BF5413">
                          <w:tc>
                            <w:tcPr>
                              <w:tcW w:w="7088" w:type="dxa"/>
                              <w:gridSpan w:val="3"/>
                            </w:tcPr>
                            <w:p w14:paraId="3EE13AE2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lastRenderedPageBreak/>
                                <w:t>Испитне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 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обавезе</w:t>
                              </w:r>
                              <w:proofErr w:type="spellEnd"/>
                            </w:p>
                          </w:tc>
                        </w:tr>
                        <w:tr w:rsidR="0072767D" w:rsidRPr="00675397" w14:paraId="53297917" w14:textId="77777777" w:rsidTr="00BF5413">
                          <w:tc>
                            <w:tcPr>
                              <w:tcW w:w="2468" w:type="dxa"/>
                            </w:tcPr>
                            <w:p w14:paraId="55CB41EE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Испит</w:t>
                              </w:r>
                              <w:proofErr w:type="spellEnd"/>
                            </w:p>
                            <w:p w14:paraId="71AD2FAF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(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писмени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 и 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усмени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 </w:t>
                              </w: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део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1359" w:type="dxa"/>
                            </w:tcPr>
                            <w:p w14:paraId="1C0B3FD1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>45</w:t>
                              </w:r>
                            </w:p>
                            <w:p w14:paraId="769BF67C" w14:textId="77777777" w:rsidR="0072767D" w:rsidRPr="00675397" w:rsidRDefault="0072767D" w:rsidP="00BF5413">
                              <w:pPr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</w:p>
                          </w:tc>
                          <w:tc>
                            <w:tcPr>
                              <w:tcW w:w="3261" w:type="dxa"/>
                            </w:tcPr>
                            <w:p w14:paraId="584BF0C7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припрема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: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>50 ч</w:t>
                              </w:r>
                            </w:p>
                            <w:p w14:paraId="7460D456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израда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: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>2 ч</w:t>
                              </w:r>
                            </w:p>
                            <w:p w14:paraId="41BEE379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укупно</w:t>
                              </w:r>
                              <w:proofErr w:type="spellEnd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 xml:space="preserve">: </w:t>
                              </w: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>52 ч</w:t>
                              </w:r>
                            </w:p>
                          </w:tc>
                        </w:tr>
                        <w:tr w:rsidR="0072767D" w:rsidRPr="00675397" w14:paraId="3EA4A61D" w14:textId="77777777" w:rsidTr="00BF5413">
                          <w:tc>
                            <w:tcPr>
                              <w:tcW w:w="2468" w:type="dxa"/>
                            </w:tcPr>
                            <w:p w14:paraId="791742EA" w14:textId="77777777" w:rsidR="0072767D" w:rsidRPr="00675397" w:rsidRDefault="0072767D" w:rsidP="00BF5413">
                              <w:pPr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proofErr w:type="spellStart"/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Укупно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359" w:type="dxa"/>
                            </w:tcPr>
                            <w:p w14:paraId="0C6F09DD" w14:textId="77777777" w:rsidR="0072767D" w:rsidRPr="00675397" w:rsidRDefault="0072767D" w:rsidP="00BF5413">
                              <w:pPr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r w:rsidRPr="00675397">
                                <w:rPr>
                                  <w:rFonts w:ascii="Arial" w:eastAsiaTheme="minorHAnsi" w:hAnsi="Arial" w:cs="Arial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3261" w:type="dxa"/>
                            </w:tcPr>
                            <w:p w14:paraId="1ADA2AB2" w14:textId="77777777" w:rsidR="0072767D" w:rsidRPr="00675397" w:rsidRDefault="0072767D" w:rsidP="00BF541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</w:pPr>
                              <w:r w:rsidRPr="00675397"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>197,2</w:t>
                              </w:r>
                              <w:r>
                                <w:rPr>
                                  <w:rFonts w:ascii="Arial" w:eastAsiaTheme="minorHAnsi" w:hAnsi="Arial" w:cs="Arial"/>
                                  <w:lang w:val="sr-Cyrl-RS"/>
                                </w:rPr>
                                <w:t xml:space="preserve"> ч</w:t>
                              </w:r>
                            </w:p>
                          </w:tc>
                        </w:tr>
                      </w:tbl>
                      <w:p w14:paraId="4D8569E5" w14:textId="77777777" w:rsidR="0072767D" w:rsidRDefault="0072767D" w:rsidP="00BF541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720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</w:p>
                      <w:p w14:paraId="123C5B59" w14:textId="77777777" w:rsidR="0072767D" w:rsidRDefault="0072767D" w:rsidP="00BF541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720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Анкетирањем студената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о квалитету рада на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појединачним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предметима од студената се захтева и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да изнесу резултате сопственог редовног мониторинга оптерећења.</w:t>
                        </w:r>
                      </w:p>
                      <w:p w14:paraId="3089210D" w14:textId="77777777" w:rsidR="0072767D" w:rsidRPr="00CC784E" w:rsidRDefault="0072767D" w:rsidP="00BF541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720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Унапређивање и континуирано осавремењивање постојећих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студијских програма заснива се на развоју науке и новим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захтевима који се постављају пред образовне профиле заступљене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на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Природно-математичком ф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акултету.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На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ставни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ци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и сарадни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ци Факултета су стално ангажовани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у истраживањима, пројектима и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сарадњи са привредом,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реализују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семинар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е, радионице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за наставнике и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сараднике од стране колега из иностранства и истакнутих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стручњака из привреде.</w:t>
                        </w:r>
                      </w:p>
                    </w:tc>
                  </w:tr>
                </w:tbl>
                <w:p w14:paraId="187C5A60" w14:textId="77777777" w:rsidR="0072767D" w:rsidRDefault="0072767D" w:rsidP="00BF541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62"/>
                    <w:jc w:val="both"/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</w:pP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lastRenderedPageBreak/>
                    <w:t>Постигнућа дипломираних студената Факултета прате се путем анонимних и добровољних анкета. Испитаници су већином директори школа Ниш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Latn-RS"/>
                    </w:rPr>
                    <w:t>a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и околних градова,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као и послодавци у предузећима и индустрији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у којима су у највећој мери запослени дипломирани студенти Факултета. Резултати последњег анкетирања, показују да већина послодаваца ниво теоријског знања и практичних вештина оцењује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високом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оценом. </w:t>
                  </w:r>
                </w:p>
                <w:p w14:paraId="75A3E5F2" w14:textId="77777777" w:rsidR="0072767D" w:rsidRDefault="0072767D" w:rsidP="00BF541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62"/>
                    <w:jc w:val="both"/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</w:pP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На Факултету је формиран и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Алумни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сервис, као спона између дипломи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softHyphen/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раних студената и Факултета.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Алумни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сервис се бави одржавањем коресподенције са свршеним студентима. </w:t>
                  </w:r>
                </w:p>
                <w:p w14:paraId="2BB96349" w14:textId="77777777" w:rsidR="0072767D" w:rsidRPr="00CC784E" w:rsidRDefault="0072767D" w:rsidP="00BF541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62"/>
                    <w:jc w:val="both"/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</w:pPr>
                </w:p>
              </w:tc>
            </w:tr>
          </w:tbl>
          <w:p w14:paraId="07D71553" w14:textId="77777777" w:rsidR="0072767D" w:rsidRPr="00CC784E" w:rsidRDefault="0072767D" w:rsidP="00BF541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767D" w:rsidRPr="00C70168" w14:paraId="7D7429B2" w14:textId="77777777" w:rsidTr="00BF5413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4D602B91" w14:textId="77777777" w:rsidR="0072767D" w:rsidRPr="00C70168" w:rsidRDefault="0072767D" w:rsidP="00BF5413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>б)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Процена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испуњености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стандарда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4</w:t>
            </w:r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(SWOT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анализа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72767D" w:rsidRPr="00C70168" w14:paraId="62491337" w14:textId="77777777" w:rsidTr="00BF5413">
        <w:tc>
          <w:tcPr>
            <w:tcW w:w="9606" w:type="dxa"/>
            <w:gridSpan w:val="2"/>
            <w:shd w:val="clear" w:color="auto" w:fill="auto"/>
          </w:tcPr>
          <w:p w14:paraId="6C709190" w14:textId="77777777" w:rsidR="0072767D" w:rsidRDefault="0072767D" w:rsidP="00BF5413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358D43EA" w14:textId="77777777" w:rsidR="0072767D" w:rsidRDefault="0072767D" w:rsidP="00BF5413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sz w:val="22"/>
                <w:szCs w:val="22"/>
                <w:lang w:val="sr-Cyrl-RS"/>
              </w:rPr>
              <w:t>У оквиру Стандарда 4 Факултет је анализирао и квантитативно оценио следеће елементе:</w:t>
            </w:r>
          </w:p>
          <w:p w14:paraId="07733291" w14:textId="77777777" w:rsidR="0072767D" w:rsidRPr="00816325" w:rsidRDefault="0072767D" w:rsidP="00BF5413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sz w:val="22"/>
                <w:szCs w:val="22"/>
                <w:lang w:val="sr-Cyrl-RS"/>
              </w:rPr>
              <w:t xml:space="preserve">- </w:t>
            </w: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циљеве студијског програма и њихову усклађеност са исходима учења;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14"/>
            </w:tblGrid>
            <w:tr w:rsidR="0072767D" w:rsidRPr="00273C70" w14:paraId="44BB138F" w14:textId="77777777" w:rsidTr="00BF5413">
              <w:trPr>
                <w:trHeight w:val="559"/>
              </w:trPr>
              <w:tc>
                <w:tcPr>
                  <w:tcW w:w="0" w:type="auto"/>
                </w:tcPr>
                <w:p w14:paraId="69678DE2" w14:textId="72374995" w:rsidR="0072767D" w:rsidRPr="00273C70" w:rsidRDefault="0072767D" w:rsidP="00BF541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lang w:val="sr-Cyrl-RS"/>
                    </w:rPr>
                  </w:pP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Циљеви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студијск</w:t>
                  </w:r>
                  <w:r>
                    <w:rPr>
                      <w:rFonts w:ascii="Arial" w:hAnsi="Arial" w:cs="Arial"/>
                      <w:color w:val="000000"/>
                      <w:lang w:val="sr-Cyrl-RS"/>
                    </w:rPr>
                    <w:t>ог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програма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су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јасно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дефинисани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и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усклађени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са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исходима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учења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>Програмски и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сходи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учења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повевезани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су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са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дескрипторима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>квалификација одређеног циклуса образовања</w:t>
                  </w:r>
                  <w:r w:rsidRPr="00273C70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</w:p>
              </w:tc>
            </w:tr>
          </w:tbl>
          <w:p w14:paraId="57EA2379" w14:textId="77777777" w:rsidR="0072767D" w:rsidRPr="00816325" w:rsidRDefault="0072767D" w:rsidP="00BF5413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- методе наставе оријентисане ка учењу исхода учења;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14"/>
            </w:tblGrid>
            <w:tr w:rsidR="0072767D" w:rsidRPr="00273C70" w14:paraId="106BF5FD" w14:textId="77777777" w:rsidTr="00BF5413">
              <w:trPr>
                <w:trHeight w:val="1145"/>
              </w:trPr>
              <w:tc>
                <w:tcPr>
                  <w:tcW w:w="0" w:type="auto"/>
                </w:tcPr>
                <w:p w14:paraId="4C5FC095" w14:textId="77777777" w:rsidR="0072767D" w:rsidRPr="00273C70" w:rsidRDefault="0072767D" w:rsidP="00BF541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757C67">
                    <w:rPr>
                      <w:rFonts w:ascii="Arial" w:hAnsi="Arial" w:cs="Arial"/>
                      <w:color w:val="000000"/>
                      <w:lang w:val="sr-Cyrl-RS"/>
                    </w:rPr>
                    <w:t>М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етоде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наставе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усмерене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су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на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постизање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исхода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учења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Koгнитивни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исходи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учења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(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знање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разумевање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примена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)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остварују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се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кроз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наставне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757C67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методе: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предавања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семинари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дискусије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  <w:lang w:val="sr-Cyrl-RS"/>
                    </w:rPr>
                    <w:t>, практични исходи учења се остварују кроз</w:t>
                  </w:r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лабораторијски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рад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  <w:lang w:val="sr-Cyrl-RS"/>
                    </w:rPr>
                    <w:t>, а општи исходи учења и кроз предавања и кроз лабораторијски рад</w:t>
                  </w:r>
                  <w:r w:rsidRPr="00757C67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</w:p>
              </w:tc>
            </w:tr>
          </w:tbl>
          <w:p w14:paraId="18C8A6EE" w14:textId="77777777" w:rsidR="0072767D" w:rsidRPr="00816325" w:rsidRDefault="0072767D" w:rsidP="00BF5413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- систем оцењивања заснован на мерењу исхода учења;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14"/>
            </w:tblGrid>
            <w:tr w:rsidR="0072767D" w:rsidRPr="00273C70" w14:paraId="1E802724" w14:textId="77777777" w:rsidTr="00BF5413">
              <w:trPr>
                <w:trHeight w:val="998"/>
              </w:trPr>
              <w:tc>
                <w:tcPr>
                  <w:tcW w:w="0" w:type="auto"/>
                </w:tcPr>
                <w:p w14:paraId="64B8BEE4" w14:textId="134208E6" w:rsidR="0072767D" w:rsidRPr="00757C67" w:rsidRDefault="0072767D" w:rsidP="00BF541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lang w:val="sr-Cyrl-RS"/>
                    </w:rPr>
                  </w:pP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Систем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оцењивања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заснован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је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на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мерењу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исхода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учења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Сви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нивои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знања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и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вештина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оцењују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се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континуирано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током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наставног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процеса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и на крају наставног процеса</w:t>
                  </w:r>
                  <w:r w:rsidRPr="00757C67">
                    <w:rPr>
                      <w:rFonts w:ascii="Arial" w:hAnsi="Arial" w:cs="Arial"/>
                      <w:color w:val="000000"/>
                    </w:rPr>
                    <w:t>.</w:t>
                  </w:r>
                  <w:r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</w:t>
                  </w:r>
                  <w:r w:rsidRPr="00757C67">
                    <w:rPr>
                      <w:rFonts w:ascii="Arial" w:hAnsi="Arial" w:cs="Arial"/>
                      <w:color w:val="000000"/>
                      <w:lang w:val="sr-Cyrl-RS"/>
                    </w:rPr>
                    <w:t>Са поступком и критеријумима оцењивања, као и са обавезама, наставник упознаје студенте на првом часу. Студијски програм садржи прецизиране критеријуме оцењивања.</w:t>
                  </w:r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Примењују се и формативне (ради информисања наставника и студента о оствареном напретку студента) и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lang w:val="sr-Cyrl-RS"/>
                    </w:rPr>
                    <w:t>сумативне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процене (процена која сумира постигнућа студента)</w:t>
                  </w:r>
                </w:p>
              </w:tc>
            </w:tr>
          </w:tbl>
          <w:p w14:paraId="356A62A6" w14:textId="77777777" w:rsidR="0072767D" w:rsidRPr="00816325" w:rsidRDefault="0072767D" w:rsidP="00BF5413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sz w:val="22"/>
                <w:szCs w:val="22"/>
                <w:lang w:val="sr-Cyrl-RS"/>
              </w:rPr>
              <w:t xml:space="preserve">- </w:t>
            </w: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усаглашеност </w:t>
            </w:r>
            <w:proofErr w:type="spellStart"/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ЕСПБ</w:t>
            </w:r>
            <w:proofErr w:type="spellEnd"/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оптерећења са активностима учења потребним за достизање очекиваних исхода учења;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14"/>
            </w:tblGrid>
            <w:tr w:rsidR="0072767D" w:rsidRPr="00273C70" w14:paraId="2B3B15FE" w14:textId="77777777" w:rsidTr="00BF5413">
              <w:trPr>
                <w:trHeight w:val="706"/>
              </w:trPr>
              <w:tc>
                <w:tcPr>
                  <w:tcW w:w="0" w:type="auto"/>
                </w:tcPr>
                <w:p w14:paraId="4D575A96" w14:textId="77777777" w:rsidR="0072767D" w:rsidRPr="00273C70" w:rsidRDefault="0072767D" w:rsidP="00BF541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lang w:val="sr-Cyrl-RS"/>
                    </w:rPr>
                  </w:pPr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lastRenderedPageBreak/>
                    <w:t xml:space="preserve">Резултати анкетирања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показују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да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је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оптерећење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студената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још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увек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велико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на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појединим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предметима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, и поред тога што је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вршено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усаглашавањ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е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ЕСПБ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оптерећења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са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активности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ма учења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потребним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за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д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остизање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очекиваних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исхода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учења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П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римен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а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савремених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метода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учења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и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рационализација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уџбеника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учини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ће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да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се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проблем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оптерећености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студената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превазиђе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>.</w:t>
                  </w:r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14:paraId="14C78186" w14:textId="77777777" w:rsidR="0072767D" w:rsidRPr="00816325" w:rsidRDefault="0072767D" w:rsidP="00BF5413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- способност функционалне интеграције знања и вештина;</w:t>
            </w:r>
          </w:p>
          <w:p w14:paraId="44C0B9C3" w14:textId="77777777" w:rsidR="0072767D" w:rsidRPr="000630A1" w:rsidRDefault="0072767D" w:rsidP="00BF5413">
            <w:pPr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color w:val="000000"/>
                <w:lang w:val="sr-Cyrl-RS"/>
              </w:rPr>
            </w:pPr>
            <w:r>
              <w:rPr>
                <w:rFonts w:ascii="Arial" w:hAnsi="Arial" w:cs="Arial"/>
                <w:color w:val="000000"/>
                <w:lang w:val="sr-Cyrl-RS"/>
              </w:rPr>
              <w:t>С</w:t>
            </w:r>
            <w:proofErr w:type="spellStart"/>
            <w:r w:rsidRPr="008E522B">
              <w:rPr>
                <w:rFonts w:ascii="Arial" w:hAnsi="Arial" w:cs="Arial"/>
                <w:color w:val="000000"/>
              </w:rPr>
              <w:t>тудијски</w:t>
            </w:r>
            <w:proofErr w:type="spellEnd"/>
            <w:r w:rsidRPr="00273C7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73C70">
              <w:rPr>
                <w:rFonts w:ascii="Arial" w:hAnsi="Arial" w:cs="Arial"/>
                <w:color w:val="000000"/>
              </w:rPr>
              <w:t>програм</w:t>
            </w:r>
            <w:proofErr w:type="spellEnd"/>
            <w:r w:rsidRPr="008E522B">
              <w:rPr>
                <w:rFonts w:ascii="Arial" w:hAnsi="Arial" w:cs="Arial"/>
                <w:color w:val="000000"/>
                <w:lang w:val="sr-Cyrl-RS"/>
              </w:rPr>
              <w:t>и</w:t>
            </w:r>
            <w:r w:rsidRPr="00273C7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73C70">
              <w:rPr>
                <w:rFonts w:ascii="Arial" w:hAnsi="Arial" w:cs="Arial"/>
                <w:color w:val="000000"/>
              </w:rPr>
              <w:t>омогућавају</w:t>
            </w:r>
            <w:proofErr w:type="spellEnd"/>
            <w:r w:rsidRPr="00273C7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73C70">
              <w:rPr>
                <w:rFonts w:ascii="Arial" w:hAnsi="Arial" w:cs="Arial"/>
                <w:color w:val="000000"/>
              </w:rPr>
              <w:t>да</w:t>
            </w:r>
            <w:proofErr w:type="spellEnd"/>
            <w:r w:rsidRPr="00273C7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73C70">
              <w:rPr>
                <w:rFonts w:ascii="Arial" w:hAnsi="Arial" w:cs="Arial"/>
                <w:color w:val="000000"/>
              </w:rPr>
              <w:t>студенти</w:t>
            </w:r>
            <w:proofErr w:type="spellEnd"/>
            <w:r w:rsidRPr="00273C70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sr-Cyrl-RS"/>
              </w:rPr>
              <w:t xml:space="preserve">кроз практичан рад интегришу стечена знања и вештине на предметима. Заступљеност великог броја часова практичне наставе (вежбе, лабораторијски рад, теренска испитивања) омогућавају функционалну </w:t>
            </w:r>
            <w:proofErr w:type="spellStart"/>
            <w:r>
              <w:rPr>
                <w:rFonts w:ascii="Arial" w:hAnsi="Arial" w:cs="Arial"/>
                <w:color w:val="000000"/>
                <w:lang w:val="sr-Cyrl-RS"/>
              </w:rPr>
              <w:t>нтеграцију</w:t>
            </w:r>
            <w:proofErr w:type="spellEnd"/>
            <w:r>
              <w:rPr>
                <w:rFonts w:ascii="Arial" w:hAnsi="Arial" w:cs="Arial"/>
                <w:color w:val="000000"/>
                <w:lang w:val="sr-Cyrl-RS"/>
              </w:rPr>
              <w:t xml:space="preserve"> стечених знања у пракси.</w:t>
            </w:r>
          </w:p>
          <w:p w14:paraId="30A33DA4" w14:textId="56E85CF0" w:rsidR="0072767D" w:rsidRPr="00816325" w:rsidRDefault="0072767D" w:rsidP="00BF5413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- поступке праћења квалитета студијск</w:t>
            </w:r>
            <w:r w:rsidR="00ED3250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ог</w:t>
            </w: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програма;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14"/>
            </w:tblGrid>
            <w:tr w:rsidR="0072767D" w:rsidRPr="00816325" w14:paraId="39E9DD25" w14:textId="77777777" w:rsidTr="00BF5413">
              <w:trPr>
                <w:trHeight w:val="559"/>
              </w:trPr>
              <w:tc>
                <w:tcPr>
                  <w:tcW w:w="0" w:type="auto"/>
                </w:tcPr>
                <w:p w14:paraId="01808137" w14:textId="633F6187" w:rsidR="0072767D" w:rsidRPr="00816325" w:rsidRDefault="0072767D" w:rsidP="00BF541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</w:rPr>
                  </w:pP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Праћење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квалитета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студијск</w:t>
                  </w:r>
                  <w:r w:rsidR="00ED3250">
                    <w:rPr>
                      <w:rFonts w:ascii="Arial" w:hAnsi="Arial" w:cs="Arial"/>
                      <w:color w:val="000000"/>
                      <w:lang w:val="sr-Cyrl-RS"/>
                    </w:rPr>
                    <w:t>ог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програма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одвија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путем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анкета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којима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вреднује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квалитет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8E522B">
                    <w:rPr>
                      <w:rFonts w:ascii="Arial" w:hAnsi="Arial" w:cs="Arial"/>
                      <w:lang w:val="sr-Cyrl-RS"/>
                    </w:rPr>
                    <w:t>студијских програма</w:t>
                  </w:r>
                  <w:r>
                    <w:rPr>
                      <w:rFonts w:ascii="Arial" w:hAnsi="Arial" w:cs="Arial"/>
                      <w:lang w:val="sr-Cyrl-RS"/>
                    </w:rPr>
                    <w:t xml:space="preserve"> и наставе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од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стране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дипломираних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студената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>,</w:t>
                  </w:r>
                  <w:r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квалитет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дипломираних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студената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од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стране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послодаваца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и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прибавља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мишљење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студената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о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њиховом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радном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оптерећењу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lang w:val="sr-Cyrl-RS"/>
                    </w:rPr>
                    <w:t>.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14:paraId="5BD596D4" w14:textId="77777777" w:rsidR="0072767D" w:rsidRPr="00816325" w:rsidRDefault="0072767D" w:rsidP="00BF5413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2C0825C6" w14:textId="77777777" w:rsidR="0072767D" w:rsidRPr="00816325" w:rsidRDefault="0072767D" w:rsidP="00BF5413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- повратне информације из праксе о свршеним студентима и њиховим компетенцијама;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14"/>
            </w:tblGrid>
            <w:tr w:rsidR="0072767D" w:rsidRPr="00816325" w14:paraId="76A11CCF" w14:textId="77777777" w:rsidTr="00BF5413">
              <w:trPr>
                <w:trHeight w:val="857"/>
              </w:trPr>
              <w:tc>
                <w:tcPr>
                  <w:tcW w:w="0" w:type="auto"/>
                </w:tcPr>
                <w:p w14:paraId="4F9DDFD7" w14:textId="77777777" w:rsidR="0072767D" w:rsidRPr="00816325" w:rsidRDefault="0072767D" w:rsidP="00BF541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</w:rPr>
                  </w:pP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Повратне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информације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E522B">
                    <w:rPr>
                      <w:rFonts w:ascii="Arial" w:hAnsi="Arial" w:cs="Arial"/>
                      <w:color w:val="000000"/>
                    </w:rPr>
                    <w:t>из</w:t>
                  </w:r>
                  <w:proofErr w:type="spellEnd"/>
                  <w:r w:rsidRPr="008E522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E522B">
                    <w:rPr>
                      <w:rFonts w:ascii="Arial" w:hAnsi="Arial" w:cs="Arial"/>
                      <w:color w:val="000000"/>
                    </w:rPr>
                    <w:t>праксе</w:t>
                  </w:r>
                  <w:proofErr w:type="spellEnd"/>
                  <w:r w:rsidRPr="008E522B">
                    <w:rPr>
                      <w:rFonts w:ascii="Arial" w:hAnsi="Arial" w:cs="Arial"/>
                      <w:color w:val="000000"/>
                    </w:rPr>
                    <w:t xml:space="preserve"> о </w:t>
                  </w:r>
                  <w:proofErr w:type="spellStart"/>
                  <w:r w:rsidRPr="008E522B">
                    <w:rPr>
                      <w:rFonts w:ascii="Arial" w:hAnsi="Arial" w:cs="Arial"/>
                      <w:color w:val="000000"/>
                    </w:rPr>
                    <w:t>свршеним</w:t>
                  </w:r>
                  <w:proofErr w:type="spellEnd"/>
                  <w:r w:rsidRPr="008E522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E522B">
                    <w:rPr>
                      <w:rFonts w:ascii="Arial" w:hAnsi="Arial" w:cs="Arial"/>
                      <w:color w:val="000000"/>
                    </w:rPr>
                    <w:t>студентима</w:t>
                  </w:r>
                  <w:proofErr w:type="spellEnd"/>
                  <w:r w:rsidRPr="008E522B">
                    <w:rPr>
                      <w:rFonts w:ascii="Arial" w:hAnsi="Arial" w:cs="Arial"/>
                      <w:color w:val="000000"/>
                    </w:rPr>
                    <w:t xml:space="preserve"> и </w:t>
                  </w:r>
                  <w:proofErr w:type="spellStart"/>
                  <w:r w:rsidRPr="008E522B">
                    <w:rPr>
                      <w:rFonts w:ascii="Arial" w:hAnsi="Arial" w:cs="Arial"/>
                      <w:color w:val="000000"/>
                    </w:rPr>
                    <w:t>њиховим</w:t>
                  </w:r>
                  <w:proofErr w:type="spellEnd"/>
                  <w:r w:rsidRPr="008E522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E522B">
                    <w:rPr>
                      <w:rFonts w:ascii="Arial" w:hAnsi="Arial" w:cs="Arial"/>
                      <w:color w:val="000000"/>
                    </w:rPr>
                    <w:t>компетенцијама</w:t>
                  </w:r>
                  <w:proofErr w:type="spellEnd"/>
                  <w:r w:rsidRPr="008E522B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</w:t>
                  </w:r>
                  <w:r w:rsidRPr="008E522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Факултет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обезбеђује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путем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анонимних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анкета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које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попуњавају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послодавци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</w:p>
              </w:tc>
            </w:tr>
          </w:tbl>
          <w:p w14:paraId="1DDB2C02" w14:textId="77777777" w:rsidR="0072767D" w:rsidRPr="00816325" w:rsidRDefault="0072767D" w:rsidP="00BF5413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- континуирано ос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а</w:t>
            </w: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времењивање студијских програма;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14"/>
            </w:tblGrid>
            <w:tr w:rsidR="0072767D" w:rsidRPr="00816325" w14:paraId="7575797C" w14:textId="77777777" w:rsidTr="00BF5413">
              <w:trPr>
                <w:trHeight w:val="852"/>
              </w:trPr>
              <w:tc>
                <w:tcPr>
                  <w:tcW w:w="0" w:type="auto"/>
                </w:tcPr>
                <w:p w14:paraId="7C341779" w14:textId="49A22108" w:rsidR="0072767D" w:rsidRPr="00816325" w:rsidRDefault="0072767D" w:rsidP="00BF541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</w:rPr>
                  </w:pP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Студијски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програм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ED3250">
                    <w:rPr>
                      <w:rFonts w:ascii="Arial" w:hAnsi="Arial" w:cs="Arial"/>
                      <w:color w:val="000000"/>
                      <w:lang w:val="sr-Cyrl-RS"/>
                    </w:rPr>
                    <w:t>је усаглашен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одговарајућим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програмима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других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високошколских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установа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8E522B">
                    <w:rPr>
                      <w:rFonts w:ascii="Arial" w:hAnsi="Arial" w:cs="Arial"/>
                      <w:color w:val="000000"/>
                      <w:lang w:val="sr-Cyrl-RS"/>
                    </w:rPr>
                    <w:t>у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чешћем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у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међународним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пројектима</w:t>
                  </w:r>
                  <w:proofErr w:type="spellEnd"/>
                  <w:r w:rsidRPr="008E522B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попут </w:t>
                  </w:r>
                  <w:proofErr w:type="spellStart"/>
                  <w:r w:rsidRPr="008E522B">
                    <w:rPr>
                      <w:rFonts w:ascii="Arial" w:hAnsi="Arial" w:cs="Arial"/>
                      <w:color w:val="000000"/>
                      <w:lang w:val="sr-Cyrl-RS"/>
                    </w:rPr>
                    <w:t>Еразмус</w:t>
                  </w:r>
                  <w:proofErr w:type="spellEnd"/>
                  <w:r w:rsidRPr="008E522B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-а. </w:t>
                  </w:r>
                  <w:r w:rsidRPr="008E522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8E522B">
                    <w:rPr>
                      <w:rFonts w:ascii="Arial" w:hAnsi="Arial" w:cs="Arial"/>
                      <w:color w:val="000000"/>
                      <w:lang w:val="sr-Cyrl-RS"/>
                    </w:rPr>
                    <w:t>Осавремењивање обухвата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8E522B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увођење нових садржаја, примену нових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облика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наставе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метода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провер</w:t>
                  </w:r>
                  <w:proofErr w:type="spellEnd"/>
                  <w:r w:rsidRPr="008E522B">
                    <w:rPr>
                      <w:rFonts w:ascii="Arial" w:hAnsi="Arial" w:cs="Arial"/>
                      <w:color w:val="000000"/>
                      <w:lang w:val="sr-Cyrl-RS"/>
                    </w:rPr>
                    <w:t>е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знања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обима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студијског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програма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који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је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изражен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ЕСПБ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бодовима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</w:p>
              </w:tc>
            </w:tr>
          </w:tbl>
          <w:p w14:paraId="36C2860E" w14:textId="77777777" w:rsidR="0072767D" w:rsidRPr="00816325" w:rsidRDefault="0072767D" w:rsidP="00BF5413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5F9D923D" w14:textId="77777777" w:rsidR="0072767D" w:rsidRPr="00816325" w:rsidRDefault="0072767D" w:rsidP="00BF5413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- доступност информација о дипломском раду и стручној пракси;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14"/>
            </w:tblGrid>
            <w:tr w:rsidR="0072767D" w:rsidRPr="00816325" w14:paraId="0C50CD64" w14:textId="77777777" w:rsidTr="00BF5413">
              <w:trPr>
                <w:trHeight w:val="412"/>
              </w:trPr>
              <w:tc>
                <w:tcPr>
                  <w:tcW w:w="0" w:type="auto"/>
                </w:tcPr>
                <w:p w14:paraId="3B000F1E" w14:textId="77777777" w:rsidR="0072767D" w:rsidRPr="00816325" w:rsidRDefault="0072767D" w:rsidP="00BF541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lang w:val="sr-Cyrl-RS"/>
                    </w:rPr>
                  </w:pPr>
                  <w:r w:rsidRPr="00816325">
                    <w:rPr>
                      <w:rFonts w:ascii="Arial" w:hAnsi="Arial" w:cs="Arial"/>
                      <w:i/>
                      <w:color w:val="000000"/>
                      <w:lang w:val="sr-Cyrl-RS"/>
                    </w:rPr>
                    <w:t xml:space="preserve">Правилник о </w:t>
                  </w:r>
                  <w:r>
                    <w:rPr>
                      <w:rFonts w:ascii="Arial" w:hAnsi="Arial" w:cs="Arial"/>
                      <w:i/>
                      <w:color w:val="000000"/>
                      <w:lang w:val="sr-Cyrl-RS"/>
                    </w:rPr>
                    <w:t>мастер</w:t>
                  </w:r>
                  <w:r w:rsidRPr="00816325">
                    <w:rPr>
                      <w:rFonts w:ascii="Arial" w:hAnsi="Arial" w:cs="Arial"/>
                      <w:i/>
                      <w:color w:val="000000"/>
                      <w:lang w:val="sr-Cyrl-RS"/>
                    </w:rPr>
                    <w:t xml:space="preserve"> академским студијама Природно-математичког факултета </w:t>
                  </w:r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>дефиниш</w:t>
                  </w:r>
                  <w:r w:rsidRPr="00816325">
                    <w:rPr>
                      <w:rFonts w:ascii="Arial" w:hAnsi="Arial" w:cs="Arial"/>
                      <w:i/>
                      <w:color w:val="000000"/>
                      <w:lang w:val="sr-Cyrl-RS"/>
                    </w:rPr>
                    <w:t xml:space="preserve">е </w:t>
                  </w:r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>процедуру</w:t>
                  </w:r>
                  <w:r w:rsidRPr="00816325">
                    <w:rPr>
                      <w:rFonts w:ascii="Arial" w:hAnsi="Arial" w:cs="Arial"/>
                      <w:i/>
                      <w:color w:val="000000"/>
                      <w:lang w:val="sr-Cyrl-RS"/>
                    </w:rPr>
                    <w:t xml:space="preserve"> 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израде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и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одбране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lang w:val="sr-Cyrl-RS"/>
                    </w:rPr>
                    <w:t>завршног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рада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>.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>П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равилник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је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доступ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>а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н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на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сајту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Факултета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</w:p>
              </w:tc>
            </w:tr>
          </w:tbl>
          <w:p w14:paraId="12E4207D" w14:textId="37CD53C5" w:rsidR="0072767D" w:rsidRPr="00816325" w:rsidRDefault="0072767D" w:rsidP="00BF5413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- доступност информација о студијск</w:t>
            </w:r>
            <w:r w:rsidR="00ED3250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ом</w:t>
            </w: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програм</w:t>
            </w:r>
            <w:r w:rsidR="00ED3250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у</w:t>
            </w: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и исходима учења.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14"/>
            </w:tblGrid>
            <w:tr w:rsidR="0072767D" w:rsidRPr="00816325" w14:paraId="4442C2C1" w14:textId="77777777" w:rsidTr="00BF5413">
              <w:trPr>
                <w:trHeight w:val="267"/>
              </w:trPr>
              <w:tc>
                <w:tcPr>
                  <w:tcW w:w="0" w:type="auto"/>
                </w:tcPr>
                <w:p w14:paraId="54BF26DD" w14:textId="78521528" w:rsidR="0072767D" w:rsidRPr="00816325" w:rsidRDefault="0072767D" w:rsidP="00BF541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>И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нформације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о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студијск</w:t>
                  </w:r>
                  <w:proofErr w:type="spellEnd"/>
                  <w:r w:rsidR="00ED3250">
                    <w:rPr>
                      <w:rFonts w:ascii="Arial" w:hAnsi="Arial" w:cs="Arial"/>
                      <w:color w:val="000000"/>
                      <w:lang w:val="sr-Cyrl-RS"/>
                    </w:rPr>
                    <w:t>ом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програм</w:t>
                  </w:r>
                  <w:proofErr w:type="spellEnd"/>
                  <w:r w:rsidR="00ED3250">
                    <w:rPr>
                      <w:rFonts w:ascii="Arial" w:hAnsi="Arial" w:cs="Arial"/>
                      <w:color w:val="000000"/>
                      <w:lang w:val="sr-Cyrl-RS"/>
                    </w:rPr>
                    <w:t>у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и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исходима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учења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доступне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су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на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сајту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Факултета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</w:p>
              </w:tc>
            </w:tr>
          </w:tbl>
          <w:p w14:paraId="5036311E" w14:textId="77777777" w:rsidR="0072767D" w:rsidRDefault="0072767D" w:rsidP="00BF5413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4A071EEB" w14:textId="77777777" w:rsidR="0072767D" w:rsidRPr="00C70168" w:rsidRDefault="0072767D" w:rsidP="00BF5413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Квантификација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процене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предности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слабости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могућности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опасности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испитиваних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елемената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анализе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извршена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основу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следећих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показатеља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E3A011B" w14:textId="77777777" w:rsidR="0072767D" w:rsidRPr="00C70168" w:rsidRDefault="0072767D" w:rsidP="00BF5413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70168">
              <w:rPr>
                <w:rFonts w:ascii="Arial" w:hAnsi="Arial" w:cs="Arial"/>
                <w:sz w:val="22"/>
                <w:szCs w:val="22"/>
              </w:rPr>
              <w:t xml:space="preserve">+++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високо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++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средње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мало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без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значаја</w:t>
            </w:r>
            <w:proofErr w:type="spellEnd"/>
          </w:p>
        </w:tc>
      </w:tr>
      <w:tr w:rsidR="0072767D" w:rsidRPr="00C70168" w14:paraId="165B88CD" w14:textId="77777777" w:rsidTr="00BF5413">
        <w:tc>
          <w:tcPr>
            <w:tcW w:w="4803" w:type="dxa"/>
            <w:shd w:val="clear" w:color="auto" w:fill="E5B8B7"/>
          </w:tcPr>
          <w:p w14:paraId="28731DD7" w14:textId="77777777" w:rsidR="0072767D" w:rsidRPr="00866396" w:rsidRDefault="0072767D" w:rsidP="00BF5413">
            <w:pPr>
              <w:pStyle w:val="Default"/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866396">
              <w:rPr>
                <w:rFonts w:ascii="Arial" w:hAnsi="Arial" w:cs="Arial"/>
                <w:b/>
                <w:sz w:val="22"/>
                <w:szCs w:val="22"/>
              </w:rPr>
              <w:lastRenderedPageBreak/>
              <w:t>СНАГЕ</w:t>
            </w:r>
            <w:proofErr w:type="spellEnd"/>
          </w:p>
          <w:p w14:paraId="634C9A6B" w14:textId="4E9C4D69" w:rsidR="0072767D" w:rsidRPr="00866396" w:rsidRDefault="0072767D" w:rsidP="00BF5413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Добра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усклађеност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циљева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>,</w:t>
            </w: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садржаја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и</w:t>
            </w: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исхода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учења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студијск</w:t>
            </w:r>
            <w:r w:rsidR="00ED3250">
              <w:rPr>
                <w:rFonts w:ascii="Arial" w:hAnsi="Arial" w:cs="Arial"/>
                <w:sz w:val="22"/>
                <w:szCs w:val="22"/>
                <w:lang w:val="sr-Cyrl-RS"/>
              </w:rPr>
              <w:t>ог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програма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>.</w:t>
            </w:r>
            <w:r w:rsidRPr="00866396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0CCCE87F" w14:textId="77777777" w:rsidR="0072767D" w:rsidRPr="00866396" w:rsidRDefault="0072767D" w:rsidP="00BF5413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66CA5">
              <w:rPr>
                <w:rFonts w:ascii="Arial" w:hAnsi="Arial" w:cs="Arial"/>
                <w:sz w:val="22"/>
                <w:szCs w:val="22"/>
              </w:rPr>
              <w:t>Повратне</w:t>
            </w:r>
            <w:proofErr w:type="spellEnd"/>
            <w:r w:rsidRPr="00766CA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66CA5">
              <w:rPr>
                <w:rFonts w:ascii="Arial" w:hAnsi="Arial" w:cs="Arial"/>
                <w:sz w:val="22"/>
                <w:szCs w:val="22"/>
              </w:rPr>
              <w:t>информације</w:t>
            </w:r>
            <w:proofErr w:type="spellEnd"/>
            <w:r w:rsidRPr="00766CA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послодаваца и дипломираних студената </w:t>
            </w:r>
            <w:proofErr w:type="spellStart"/>
            <w:r w:rsidRPr="00766CA5">
              <w:rPr>
                <w:rFonts w:ascii="Arial" w:hAnsi="Arial" w:cs="Arial"/>
                <w:sz w:val="22"/>
                <w:szCs w:val="22"/>
              </w:rPr>
              <w:t>потврђују</w:t>
            </w:r>
            <w:proofErr w:type="spellEnd"/>
            <w:r w:rsidRPr="00766CA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66CA5">
              <w:rPr>
                <w:rFonts w:ascii="Arial" w:hAnsi="Arial" w:cs="Arial"/>
                <w:sz w:val="22"/>
                <w:szCs w:val="22"/>
              </w:rPr>
              <w:t>добра</w:t>
            </w:r>
            <w:proofErr w:type="spellEnd"/>
            <w:r w:rsidRPr="00766CA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66CA5">
              <w:rPr>
                <w:rFonts w:ascii="Arial" w:hAnsi="Arial" w:cs="Arial"/>
                <w:sz w:val="22"/>
                <w:szCs w:val="22"/>
              </w:rPr>
              <w:t>теоријска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практична </w:t>
            </w:r>
            <w:proofErr w:type="spellStart"/>
            <w:r w:rsidRPr="00766CA5">
              <w:rPr>
                <w:rFonts w:ascii="Arial" w:hAnsi="Arial" w:cs="Arial"/>
                <w:sz w:val="22"/>
                <w:szCs w:val="22"/>
              </w:rPr>
              <w:t>знања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766CA5">
              <w:rPr>
                <w:rFonts w:ascii="Arial" w:hAnsi="Arial" w:cs="Arial"/>
                <w:sz w:val="22"/>
                <w:szCs w:val="22"/>
              </w:rPr>
              <w:t>наших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766CA5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>.</w:t>
            </w:r>
            <w:r w:rsidRPr="00866396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2BFFF9A6" w14:textId="77777777" w:rsidR="0072767D" w:rsidRPr="00866396" w:rsidRDefault="0072767D" w:rsidP="00BF5413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3" w:type="dxa"/>
            <w:shd w:val="clear" w:color="auto" w:fill="FBD4B4"/>
          </w:tcPr>
          <w:p w14:paraId="161920E9" w14:textId="77777777" w:rsidR="0072767D" w:rsidRPr="00866396" w:rsidRDefault="0072767D" w:rsidP="00BF5413">
            <w:pPr>
              <w:pStyle w:val="Default"/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proofErr w:type="spellStart"/>
            <w:r w:rsidRPr="00866396">
              <w:rPr>
                <w:rFonts w:ascii="Arial" w:hAnsi="Arial" w:cs="Arial"/>
                <w:b/>
                <w:caps/>
                <w:sz w:val="22"/>
                <w:szCs w:val="22"/>
              </w:rPr>
              <w:t>Слабости</w:t>
            </w:r>
            <w:proofErr w:type="spellEnd"/>
          </w:p>
          <w:p w14:paraId="5D1048AF" w14:textId="77777777" w:rsidR="0072767D" w:rsidRPr="00866396" w:rsidRDefault="0072767D" w:rsidP="00BF5413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Немогућност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довољно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брзог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реаговања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промене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тржишту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изменама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студијским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програмима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>.</w:t>
            </w:r>
            <w:r w:rsidRPr="00866396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  <w:p w14:paraId="54C14AB3" w14:textId="77777777" w:rsidR="0072767D" w:rsidRPr="00866396" w:rsidRDefault="0072767D" w:rsidP="00BF5413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767D" w:rsidRPr="00C70168" w14:paraId="6269C32C" w14:textId="77777777" w:rsidTr="00BF5413">
        <w:tc>
          <w:tcPr>
            <w:tcW w:w="4803" w:type="dxa"/>
            <w:shd w:val="clear" w:color="auto" w:fill="F2DBDB"/>
          </w:tcPr>
          <w:p w14:paraId="509BD6CC" w14:textId="77777777" w:rsidR="0072767D" w:rsidRPr="00866396" w:rsidRDefault="0072767D" w:rsidP="00BF5413">
            <w:pPr>
              <w:pStyle w:val="Default"/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866396">
              <w:rPr>
                <w:rFonts w:ascii="Arial" w:hAnsi="Arial" w:cs="Arial"/>
                <w:b/>
                <w:sz w:val="22"/>
                <w:szCs w:val="22"/>
              </w:rPr>
              <w:t>МОГУЋНОСТИ</w:t>
            </w:r>
            <w:proofErr w:type="spellEnd"/>
          </w:p>
          <w:p w14:paraId="058C1E0A" w14:textId="77777777" w:rsidR="0072767D" w:rsidRPr="00866396" w:rsidRDefault="0072767D" w:rsidP="00BF54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866396">
              <w:rPr>
                <w:rFonts w:ascii="Arial" w:hAnsi="Arial" w:cs="Arial"/>
              </w:rPr>
              <w:lastRenderedPageBreak/>
              <w:t>Преко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Алумни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организације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одржава</w:t>
            </w:r>
            <w:proofErr w:type="spellEnd"/>
            <w:r w:rsidRPr="00866396">
              <w:rPr>
                <w:rFonts w:ascii="Arial" w:hAnsi="Arial" w:cs="Arial"/>
                <w:lang w:val="sr-Cyrl-RS"/>
              </w:rPr>
              <w:t>ти</w:t>
            </w:r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повезаност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са</w:t>
            </w:r>
            <w:proofErr w:type="spellEnd"/>
            <w:r w:rsidRPr="00866396">
              <w:rPr>
                <w:rFonts w:ascii="Arial" w:hAnsi="Arial" w:cs="Arial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бившим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студентима</w:t>
            </w:r>
            <w:proofErr w:type="spellEnd"/>
            <w:r w:rsidRPr="00866396">
              <w:rPr>
                <w:rFonts w:ascii="Arial" w:hAnsi="Arial" w:cs="Arial"/>
              </w:rPr>
              <w:t xml:space="preserve">, и </w:t>
            </w:r>
            <w:r w:rsidRPr="00866396">
              <w:rPr>
                <w:rFonts w:ascii="Arial" w:hAnsi="Arial" w:cs="Arial"/>
                <w:lang w:val="sr-Cyrl-RS"/>
              </w:rPr>
              <w:t xml:space="preserve">скупљати </w:t>
            </w:r>
            <w:proofErr w:type="spellStart"/>
            <w:r w:rsidRPr="00866396">
              <w:rPr>
                <w:rFonts w:ascii="Arial" w:hAnsi="Arial" w:cs="Arial"/>
              </w:rPr>
              <w:t>повратне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информације</w:t>
            </w:r>
            <w:proofErr w:type="spellEnd"/>
            <w:r w:rsidRPr="00866396">
              <w:rPr>
                <w:rFonts w:ascii="Arial" w:hAnsi="Arial" w:cs="Arial"/>
              </w:rPr>
              <w:t xml:space="preserve"> о</w:t>
            </w:r>
            <w:r w:rsidRPr="00866396">
              <w:rPr>
                <w:rFonts w:ascii="Arial" w:hAnsi="Arial" w:cs="Arial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кретањима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на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тржишту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рада</w:t>
            </w:r>
            <w:proofErr w:type="spellEnd"/>
            <w:r w:rsidRPr="00866396">
              <w:rPr>
                <w:rFonts w:ascii="Arial" w:hAnsi="Arial" w:cs="Arial"/>
                <w:lang w:val="sr-Cyrl-RS"/>
              </w:rPr>
              <w:t>....................+</w:t>
            </w:r>
            <w:r w:rsidRPr="00866396">
              <w:rPr>
                <w:rFonts w:ascii="Arial" w:hAnsi="Arial" w:cs="Arial"/>
              </w:rPr>
              <w:t>+</w:t>
            </w:r>
          </w:p>
          <w:p w14:paraId="6B691582" w14:textId="77777777" w:rsidR="0072767D" w:rsidRDefault="0072767D" w:rsidP="00BF5413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14:paraId="396B1F0D" w14:textId="77777777" w:rsidR="0072767D" w:rsidRPr="00866396" w:rsidRDefault="0072767D" w:rsidP="00BF5413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Процес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самовредновања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даје</w:t>
            </w:r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могућност</w:t>
            </w:r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студијски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програми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иновира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ју</w:t>
            </w:r>
            <w:r w:rsidRPr="00866396">
              <w:rPr>
                <w:rFonts w:ascii="Arial" w:hAnsi="Arial" w:cs="Arial"/>
                <w:sz w:val="22"/>
                <w:szCs w:val="22"/>
              </w:rPr>
              <w:t xml:space="preserve"> и</w:t>
            </w: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унапре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де.</w:t>
            </w:r>
            <w:r w:rsidRPr="00866396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</w:tc>
        <w:tc>
          <w:tcPr>
            <w:tcW w:w="4803" w:type="dxa"/>
            <w:shd w:val="clear" w:color="auto" w:fill="FDE9D9"/>
          </w:tcPr>
          <w:p w14:paraId="5D931541" w14:textId="77777777" w:rsidR="0072767D" w:rsidRPr="00866396" w:rsidRDefault="0072767D" w:rsidP="00BF5413">
            <w:pPr>
              <w:pStyle w:val="Default"/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proofErr w:type="spellStart"/>
            <w:r w:rsidRPr="00866396">
              <w:rPr>
                <w:rFonts w:ascii="Arial" w:hAnsi="Arial" w:cs="Arial"/>
                <w:b/>
                <w:caps/>
                <w:sz w:val="22"/>
                <w:szCs w:val="22"/>
              </w:rPr>
              <w:lastRenderedPageBreak/>
              <w:t>ОПАСНОСТИ</w:t>
            </w:r>
            <w:proofErr w:type="spellEnd"/>
          </w:p>
          <w:p w14:paraId="6EA34F27" w14:textId="77777777" w:rsidR="0072767D" w:rsidRPr="00866396" w:rsidRDefault="0072767D" w:rsidP="00BF5413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lastRenderedPageBreak/>
              <w:t>Недовољна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развијена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свест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појединих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наставника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о </w:t>
            </w: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>важности</w:t>
            </w:r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исхода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учења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>запослење</w:t>
            </w:r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>дипломираних</w:t>
            </w:r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>.</w:t>
            </w:r>
            <w:r w:rsidRPr="00866396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0A2084A1" w14:textId="77777777" w:rsidR="0072767D" w:rsidRPr="00866396" w:rsidRDefault="0072767D" w:rsidP="00BF5413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Недовољна мотивисаност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баве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мерење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м свог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оптерећења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ради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процене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ЕСПБ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поједине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предмете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  <w:p w14:paraId="1C8CD8E6" w14:textId="77777777" w:rsidR="0072767D" w:rsidRPr="00866396" w:rsidRDefault="0072767D" w:rsidP="00BF5413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Недовољна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>међупредметна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корелација и координација наставних садржаја, чиме се неки садржаји понављају, неки изостављају, а неки нису временски усклађени у смислу њихове обраде</w:t>
            </w:r>
            <w:r w:rsidRPr="00866396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</w:tc>
      </w:tr>
      <w:tr w:rsidR="0072767D" w:rsidRPr="00C70168" w14:paraId="2F19E940" w14:textId="77777777" w:rsidTr="00BF5413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0E71641A" w14:textId="77777777" w:rsidR="0072767D" w:rsidRPr="00C70168" w:rsidRDefault="0072767D" w:rsidP="00BF541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Предлог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мера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активности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унапређење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квалитета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72767D" w:rsidRPr="00C70168" w14:paraId="1B303768" w14:textId="77777777" w:rsidTr="00BF5413">
        <w:tc>
          <w:tcPr>
            <w:tcW w:w="9606" w:type="dxa"/>
            <w:gridSpan w:val="2"/>
            <w:shd w:val="clear" w:color="auto" w:fill="auto"/>
          </w:tcPr>
          <w:p w14:paraId="101611BF" w14:textId="77777777" w:rsidR="0072767D" w:rsidRDefault="0072767D" w:rsidP="00BF5413">
            <w:pPr>
              <w:pStyle w:val="Default"/>
              <w:ind w:firstLine="444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39B38987" w14:textId="77777777" w:rsidR="0072767D" w:rsidRPr="006509E7" w:rsidRDefault="0072767D" w:rsidP="00BF5413">
            <w:pPr>
              <w:pStyle w:val="Default"/>
              <w:ind w:firstLine="444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>Прецизније дефинисати програмске исходе учења и исходе учења по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предметима. </w:t>
            </w:r>
          </w:p>
          <w:p w14:paraId="37AFE246" w14:textId="77777777" w:rsidR="0072767D" w:rsidRPr="006509E7" w:rsidRDefault="0072767D" w:rsidP="00BF5413">
            <w:pPr>
              <w:pStyle w:val="Default"/>
              <w:ind w:firstLine="444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>П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реиспитати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корелацију, координацију и 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међусобну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повезаност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предмета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ради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елиминације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садржаја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који се понављају </w:t>
            </w:r>
            <w:r w:rsidRPr="006509E7">
              <w:rPr>
                <w:rFonts w:ascii="Arial" w:hAnsi="Arial" w:cs="Arial"/>
                <w:sz w:val="22"/>
                <w:szCs w:val="22"/>
              </w:rPr>
              <w:t xml:space="preserve">и </w:t>
            </w: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>проширити предмете садржајима</w:t>
            </w:r>
            <w:r w:rsidRPr="006509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који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недостају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71887649" w14:textId="77777777" w:rsidR="0072767D" w:rsidRPr="006509E7" w:rsidRDefault="0072767D" w:rsidP="00BF5413">
            <w:pPr>
              <w:pStyle w:val="Default"/>
              <w:ind w:firstLine="444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 сарадњи са привредним субјектима увести и 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>формализовати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стручну праксу. </w:t>
            </w:r>
          </w:p>
          <w:p w14:paraId="1B2ECD13" w14:textId="77777777" w:rsidR="0072767D" w:rsidRDefault="0072767D" w:rsidP="00BF5413">
            <w:pPr>
              <w:pStyle w:val="Default"/>
              <w:ind w:firstLine="444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Вршити сталну процену оптерећења студената ради прецизнијег дефинисања 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>ЕСПБ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бодова по предметима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14:paraId="6D7E23CC" w14:textId="77777777" w:rsidR="0072767D" w:rsidRPr="0037139B" w:rsidRDefault="0072767D" w:rsidP="00BF5413">
            <w:pPr>
              <w:pStyle w:val="Default"/>
              <w:ind w:firstLine="444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72767D" w:rsidRPr="00C70168" w14:paraId="23D150D2" w14:textId="77777777" w:rsidTr="00BF5413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23CA52A5" w14:textId="77777777" w:rsidR="0072767D" w:rsidRPr="00C70168" w:rsidRDefault="0072767D" w:rsidP="00BF5413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По</w:t>
            </w:r>
            <w:r>
              <w:rPr>
                <w:rFonts w:ascii="Arial" w:hAnsi="Arial" w:cs="Arial"/>
                <w:b/>
                <w:sz w:val="22"/>
                <w:szCs w:val="22"/>
              </w:rPr>
              <w:t>казатељи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прилози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за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стандард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4</w:t>
            </w:r>
          </w:p>
        </w:tc>
      </w:tr>
      <w:tr w:rsidR="0072767D" w:rsidRPr="00C70168" w14:paraId="18789AFD" w14:textId="77777777" w:rsidTr="00BF5413">
        <w:tc>
          <w:tcPr>
            <w:tcW w:w="9606" w:type="dxa"/>
            <w:gridSpan w:val="2"/>
            <w:shd w:val="clear" w:color="auto" w:fill="auto"/>
          </w:tcPr>
          <w:p w14:paraId="301649B4" w14:textId="14CC5886" w:rsidR="0072767D" w:rsidRPr="0037139B" w:rsidRDefault="00744969" w:rsidP="0072767D">
            <w:pPr>
              <w:pStyle w:val="Default"/>
              <w:numPr>
                <w:ilvl w:val="0"/>
                <w:numId w:val="1"/>
              </w:numPr>
              <w:spacing w:before="120"/>
              <w:ind w:left="301" w:hanging="142"/>
              <w:rPr>
                <w:rFonts w:ascii="Arial" w:hAnsi="Arial" w:cs="Arial"/>
                <w:sz w:val="22"/>
                <w:szCs w:val="22"/>
                <w:lang w:val="sr-Latn-RS"/>
              </w:rPr>
            </w:pPr>
            <w:hyperlink r:id="rId6" w:history="1">
              <w:proofErr w:type="spellStart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Табела</w:t>
              </w:r>
              <w:proofErr w:type="spellEnd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4.1.  </w:t>
              </w:r>
              <w:proofErr w:type="spellStart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Листа</w:t>
              </w:r>
              <w:proofErr w:type="spellEnd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 </w:t>
              </w:r>
              <w:proofErr w:type="spellStart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свих</w:t>
              </w:r>
              <w:proofErr w:type="spellEnd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</w:t>
              </w:r>
              <w:proofErr w:type="spellStart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студијских</w:t>
              </w:r>
              <w:proofErr w:type="spellEnd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 </w:t>
              </w:r>
              <w:proofErr w:type="spellStart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програма</w:t>
              </w:r>
              <w:proofErr w:type="spellEnd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 </w:t>
              </w:r>
              <w:proofErr w:type="spellStart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који</w:t>
              </w:r>
              <w:proofErr w:type="spellEnd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 </w:t>
              </w:r>
              <w:proofErr w:type="spellStart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су</w:t>
              </w:r>
              <w:proofErr w:type="spellEnd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 </w:t>
              </w:r>
              <w:proofErr w:type="spellStart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акредитовани</w:t>
              </w:r>
              <w:proofErr w:type="spellEnd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 </w:t>
              </w:r>
              <w:proofErr w:type="spellStart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на</w:t>
              </w:r>
              <w:proofErr w:type="spellEnd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 </w:t>
              </w:r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Cyrl-RS"/>
                </w:rPr>
                <w:t>Факултету</w:t>
              </w:r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</w:t>
              </w:r>
              <w:proofErr w:type="spellStart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са</w:t>
              </w:r>
              <w:proofErr w:type="spellEnd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</w:t>
              </w:r>
              <w:proofErr w:type="spellStart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укупним</w:t>
              </w:r>
              <w:proofErr w:type="spellEnd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</w:t>
              </w:r>
              <w:proofErr w:type="spellStart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бројем</w:t>
              </w:r>
              <w:proofErr w:type="spellEnd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</w:t>
              </w:r>
              <w:proofErr w:type="spellStart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уписаних</w:t>
              </w:r>
              <w:proofErr w:type="spellEnd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</w:t>
              </w:r>
              <w:proofErr w:type="spellStart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студената</w:t>
              </w:r>
              <w:proofErr w:type="spellEnd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</w:t>
              </w:r>
              <w:proofErr w:type="spellStart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на</w:t>
              </w:r>
              <w:proofErr w:type="spellEnd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</w:t>
              </w:r>
              <w:proofErr w:type="spellStart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свим</w:t>
              </w:r>
              <w:proofErr w:type="spellEnd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</w:t>
              </w:r>
              <w:proofErr w:type="spellStart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годинама</w:t>
              </w:r>
              <w:proofErr w:type="spellEnd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</w:t>
              </w:r>
              <w:proofErr w:type="spellStart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студија</w:t>
              </w:r>
              <w:proofErr w:type="spellEnd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у </w:t>
              </w:r>
              <w:proofErr w:type="spellStart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текућој</w:t>
              </w:r>
              <w:proofErr w:type="spellEnd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(2017/18) и </w:t>
              </w:r>
              <w:proofErr w:type="spellStart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претходне</w:t>
              </w:r>
              <w:proofErr w:type="spellEnd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2 </w:t>
              </w:r>
              <w:proofErr w:type="spellStart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школске</w:t>
              </w:r>
              <w:proofErr w:type="spellEnd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</w:t>
              </w:r>
              <w:proofErr w:type="spellStart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године</w:t>
              </w:r>
              <w:proofErr w:type="spellEnd"/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</w:t>
              </w:r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Cyrl-RS"/>
                </w:rPr>
                <w:t xml:space="preserve"> (201</w:t>
              </w:r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5</w:t>
              </w:r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Cyrl-RS"/>
                </w:rPr>
                <w:t>/1</w:t>
              </w:r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6</w:t>
              </w:r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Cyrl-RS"/>
                </w:rPr>
                <w:t xml:space="preserve"> и 201</w:t>
              </w:r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6</w:t>
              </w:r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Cyrl-RS"/>
                </w:rPr>
                <w:t>/1</w:t>
              </w:r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7</w:t>
              </w:r>
              <w:r w:rsidR="0072767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Cyrl-RS"/>
                </w:rPr>
                <w:t>).</w:t>
              </w:r>
            </w:hyperlink>
          </w:p>
          <w:p w14:paraId="621647D2" w14:textId="00287B28" w:rsidR="0072767D" w:rsidRPr="0037139B" w:rsidRDefault="00744969" w:rsidP="0072767D">
            <w:pPr>
              <w:pStyle w:val="Default"/>
              <w:numPr>
                <w:ilvl w:val="0"/>
                <w:numId w:val="1"/>
              </w:numPr>
              <w:spacing w:before="120"/>
              <w:ind w:left="301" w:hanging="142"/>
              <w:rPr>
                <w:rFonts w:ascii="Arial" w:hAnsi="Arial" w:cs="Arial"/>
                <w:sz w:val="22"/>
                <w:szCs w:val="22"/>
                <w:lang w:val="sr-Latn-RS"/>
              </w:rPr>
            </w:pPr>
            <w:hyperlink r:id="rId7" w:history="1">
              <w:proofErr w:type="spellStart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Табела</w:t>
              </w:r>
              <w:proofErr w:type="spellEnd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 4.2. </w:t>
              </w:r>
              <w:proofErr w:type="spellStart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Број</w:t>
              </w:r>
              <w:proofErr w:type="spellEnd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и </w:t>
              </w:r>
              <w:proofErr w:type="spellStart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проценат</w:t>
              </w:r>
              <w:proofErr w:type="spellEnd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 </w:t>
              </w:r>
              <w:proofErr w:type="spellStart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дипломираних</w:t>
              </w:r>
              <w:proofErr w:type="spellEnd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 </w:t>
              </w:r>
              <w:proofErr w:type="spellStart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студената</w:t>
              </w:r>
              <w:proofErr w:type="spellEnd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(у  </w:t>
              </w:r>
              <w:proofErr w:type="spellStart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односу</w:t>
              </w:r>
              <w:proofErr w:type="spellEnd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 </w:t>
              </w:r>
              <w:proofErr w:type="spellStart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на</w:t>
              </w:r>
              <w:proofErr w:type="spellEnd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 </w:t>
              </w:r>
              <w:proofErr w:type="spellStart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број</w:t>
              </w:r>
              <w:proofErr w:type="spellEnd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 </w:t>
              </w:r>
              <w:proofErr w:type="spellStart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уписаних</w:t>
              </w:r>
              <w:proofErr w:type="spellEnd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)  у </w:t>
              </w:r>
              <w:proofErr w:type="spellStart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претходне</w:t>
              </w:r>
              <w:proofErr w:type="spellEnd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3 </w:t>
              </w:r>
              <w:proofErr w:type="spellStart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школске</w:t>
              </w:r>
              <w:proofErr w:type="spellEnd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</w:t>
              </w:r>
              <w:proofErr w:type="spellStart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године</w:t>
              </w:r>
              <w:proofErr w:type="spellEnd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у  </w:t>
              </w:r>
              <w:proofErr w:type="spellStart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оквиру</w:t>
              </w:r>
              <w:proofErr w:type="spellEnd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 </w:t>
              </w:r>
              <w:proofErr w:type="spellStart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акредитованих</w:t>
              </w:r>
              <w:proofErr w:type="spellEnd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 </w:t>
              </w:r>
              <w:proofErr w:type="spellStart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студијских</w:t>
              </w:r>
              <w:proofErr w:type="spellEnd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</w:t>
              </w:r>
              <w:proofErr w:type="spellStart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програма</w:t>
              </w:r>
              <w:proofErr w:type="spellEnd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.</w:t>
              </w:r>
            </w:hyperlink>
            <w:r w:rsidR="0072767D" w:rsidRPr="00EC53C6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</w:p>
          <w:p w14:paraId="0BCE1D6E" w14:textId="06CB5376" w:rsidR="0072767D" w:rsidRPr="0037139B" w:rsidRDefault="00744969" w:rsidP="0072767D">
            <w:pPr>
              <w:pStyle w:val="Default"/>
              <w:numPr>
                <w:ilvl w:val="0"/>
                <w:numId w:val="1"/>
              </w:numPr>
              <w:spacing w:before="120"/>
              <w:ind w:left="301" w:hanging="142"/>
              <w:rPr>
                <w:rFonts w:ascii="Arial" w:hAnsi="Arial" w:cs="Arial"/>
                <w:sz w:val="22"/>
                <w:szCs w:val="22"/>
                <w:lang w:val="sr-Latn-RS"/>
              </w:rPr>
            </w:pPr>
            <w:hyperlink r:id="rId8" w:history="1">
              <w:proofErr w:type="spellStart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Табела</w:t>
              </w:r>
              <w:proofErr w:type="spellEnd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4.3. </w:t>
              </w:r>
              <w:proofErr w:type="spellStart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Просечно</w:t>
              </w:r>
              <w:proofErr w:type="spellEnd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</w:t>
              </w:r>
              <w:proofErr w:type="spellStart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трајање</w:t>
              </w:r>
              <w:proofErr w:type="spellEnd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</w:t>
              </w:r>
              <w:proofErr w:type="spellStart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студија</w:t>
              </w:r>
              <w:proofErr w:type="spellEnd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у </w:t>
              </w:r>
              <w:proofErr w:type="spellStart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претходне</w:t>
              </w:r>
              <w:proofErr w:type="spellEnd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3 </w:t>
              </w:r>
              <w:proofErr w:type="spellStart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школске</w:t>
              </w:r>
              <w:proofErr w:type="spellEnd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</w:t>
              </w:r>
              <w:proofErr w:type="spellStart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године</w:t>
              </w:r>
              <w:proofErr w:type="spellEnd"/>
              <w:r w:rsidR="0072767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.</w:t>
              </w:r>
            </w:hyperlink>
            <w:r w:rsidR="0072767D" w:rsidRPr="00EC53C6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</w:p>
          <w:p w14:paraId="7D4BCC24" w14:textId="54841EB2" w:rsidR="0072767D" w:rsidRPr="0037139B" w:rsidRDefault="0072767D" w:rsidP="0072767D">
            <w:pPr>
              <w:pStyle w:val="Default"/>
              <w:numPr>
                <w:ilvl w:val="0"/>
                <w:numId w:val="1"/>
              </w:numPr>
              <w:spacing w:before="120"/>
              <w:ind w:left="301" w:hanging="142"/>
              <w:rPr>
                <w:rFonts w:ascii="Arial" w:hAnsi="Arial" w:cs="Arial"/>
                <w:sz w:val="22"/>
                <w:szCs w:val="22"/>
                <w:lang w:val="sr-Latn-RS"/>
              </w:rPr>
            </w:pPr>
            <w:proofErr w:type="spellStart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>Прилог</w:t>
            </w:r>
            <w:proofErr w:type="spellEnd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 xml:space="preserve">  4.1.  </w:t>
            </w:r>
            <w:proofErr w:type="spellStart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>Анализа</w:t>
            </w:r>
            <w:proofErr w:type="spellEnd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 xml:space="preserve">  </w:t>
            </w:r>
            <w:proofErr w:type="spellStart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>резултата</w:t>
            </w:r>
            <w:proofErr w:type="spellEnd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 xml:space="preserve">  </w:t>
            </w:r>
            <w:proofErr w:type="spellStart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>анкета</w:t>
            </w:r>
            <w:proofErr w:type="spellEnd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 xml:space="preserve">  о  </w:t>
            </w:r>
            <w:proofErr w:type="spellStart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>мишљењу</w:t>
            </w:r>
            <w:proofErr w:type="spellEnd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 xml:space="preserve">  </w:t>
            </w:r>
            <w:proofErr w:type="spellStart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>дипломираних</w:t>
            </w:r>
            <w:proofErr w:type="spellEnd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 xml:space="preserve">  </w:t>
            </w:r>
            <w:proofErr w:type="spellStart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>студената</w:t>
            </w:r>
            <w:proofErr w:type="spellEnd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 xml:space="preserve">  о </w:t>
            </w:r>
            <w:proofErr w:type="spellStart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>квалитету</w:t>
            </w:r>
            <w:proofErr w:type="spellEnd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>студијког</w:t>
            </w:r>
            <w:proofErr w:type="spellEnd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>програма</w:t>
            </w:r>
            <w:proofErr w:type="spellEnd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 xml:space="preserve"> и </w:t>
            </w:r>
            <w:proofErr w:type="spellStart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>постигнутим</w:t>
            </w:r>
            <w:proofErr w:type="spellEnd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>исходима</w:t>
            </w:r>
            <w:proofErr w:type="spellEnd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>учења</w:t>
            </w:r>
            <w:proofErr w:type="spellEnd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>.</w:t>
            </w:r>
          </w:p>
          <w:p w14:paraId="5FE37058" w14:textId="1E13649B" w:rsidR="0072767D" w:rsidRPr="00402318" w:rsidRDefault="0072767D" w:rsidP="0072767D">
            <w:pPr>
              <w:pStyle w:val="Default"/>
              <w:numPr>
                <w:ilvl w:val="0"/>
                <w:numId w:val="1"/>
              </w:numPr>
              <w:spacing w:before="120"/>
              <w:ind w:left="301" w:hanging="142"/>
              <w:rPr>
                <w:rStyle w:val="Hyperlink"/>
                <w:rFonts w:ascii="Arial" w:hAnsi="Arial" w:cs="Arial"/>
                <w:lang w:val="sr-Latn-RS"/>
              </w:rPr>
            </w:pPr>
            <w:proofErr w:type="spellStart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>Прилог</w:t>
            </w:r>
            <w:proofErr w:type="spellEnd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 xml:space="preserve"> 4.2. </w:t>
            </w:r>
            <w:proofErr w:type="spellStart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>Анализа</w:t>
            </w:r>
            <w:proofErr w:type="spellEnd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 xml:space="preserve">  </w:t>
            </w:r>
            <w:proofErr w:type="spellStart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>р</w:t>
            </w:r>
            <w:bookmarkStart w:id="0" w:name="_GoBack"/>
            <w:bookmarkEnd w:id="0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>езултата</w:t>
            </w:r>
            <w:proofErr w:type="spellEnd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 xml:space="preserve">  </w:t>
            </w:r>
            <w:proofErr w:type="spellStart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>анкета</w:t>
            </w:r>
            <w:proofErr w:type="spellEnd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 xml:space="preserve">  о  </w:t>
            </w:r>
            <w:proofErr w:type="spellStart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>задовољству</w:t>
            </w:r>
            <w:proofErr w:type="spellEnd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 xml:space="preserve">  </w:t>
            </w:r>
            <w:proofErr w:type="spellStart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>послодаваца</w:t>
            </w:r>
            <w:proofErr w:type="spellEnd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 xml:space="preserve">  </w:t>
            </w:r>
            <w:proofErr w:type="spellStart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>стеченим</w:t>
            </w:r>
            <w:proofErr w:type="spellEnd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>квалификацијама</w:t>
            </w:r>
            <w:proofErr w:type="spellEnd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744969">
              <w:rPr>
                <w:rFonts w:ascii="Arial" w:hAnsi="Arial" w:cs="Arial"/>
                <w:sz w:val="22"/>
                <w:szCs w:val="22"/>
                <w:lang w:val="sr-Latn-RS"/>
              </w:rPr>
              <w:t>дипломаца</w:t>
            </w:r>
            <w:proofErr w:type="spellEnd"/>
          </w:p>
          <w:p w14:paraId="3359D622" w14:textId="77777777" w:rsidR="0072767D" w:rsidRPr="00C70168" w:rsidRDefault="0072767D" w:rsidP="00BF5413">
            <w:pPr>
              <w:pStyle w:val="Default"/>
              <w:spacing w:before="120"/>
              <w:ind w:left="301"/>
              <w:rPr>
                <w:rFonts w:ascii="Arial" w:hAnsi="Arial" w:cs="Arial"/>
                <w:lang w:val="sr-Latn-RS"/>
              </w:rPr>
            </w:pPr>
          </w:p>
        </w:tc>
      </w:tr>
    </w:tbl>
    <w:p w14:paraId="17AB3A97" w14:textId="77777777" w:rsidR="00B03A5C" w:rsidRDefault="00B03A5C"/>
    <w:sectPr w:rsidR="00B03A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E1C7A"/>
    <w:multiLevelType w:val="hybridMultilevel"/>
    <w:tmpl w:val="D9F406E0"/>
    <w:lvl w:ilvl="0" w:tplc="2A2C363A">
      <w:start w:val="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A6056"/>
    <w:multiLevelType w:val="hybridMultilevel"/>
    <w:tmpl w:val="390E4F40"/>
    <w:lvl w:ilvl="0" w:tplc="C0C49B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F0C"/>
    <w:rsid w:val="0072767D"/>
    <w:rsid w:val="00744969"/>
    <w:rsid w:val="00B03A5C"/>
    <w:rsid w:val="00ED3250"/>
    <w:rsid w:val="00F3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D17D8"/>
  <w15:chartTrackingRefBased/>
  <w15:docId w15:val="{C7156F46-EECC-4296-A581-C316878D7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67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76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2767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2767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276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abela_4_3_MAS_Hemija.docx" TargetMode="External"/><Relationship Id="rId3" Type="http://schemas.openxmlformats.org/officeDocument/2006/relationships/settings" Target="settings.xml"/><Relationship Id="rId7" Type="http://schemas.openxmlformats.org/officeDocument/2006/relationships/hyperlink" Target="Tabela_4_2_MAS_Hemija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abela_4_1_MAS_Hemija.docx" TargetMode="External"/><Relationship Id="rId5" Type="http://schemas.openxmlformats.org/officeDocument/2006/relationships/hyperlink" Target="http://operator.pmf.ni.ac.rs/akreditacijaPMF2013/index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1867</Words>
  <Characters>10647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 Ranđevlović</dc:creator>
  <cp:keywords/>
  <dc:description/>
  <cp:lastModifiedBy>abc</cp:lastModifiedBy>
  <cp:revision>3</cp:revision>
  <dcterms:created xsi:type="dcterms:W3CDTF">2019-12-06T15:42:00Z</dcterms:created>
  <dcterms:modified xsi:type="dcterms:W3CDTF">2019-12-09T10:54:00Z</dcterms:modified>
</cp:coreProperties>
</file>