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55"/>
        <w:gridCol w:w="4675"/>
      </w:tblGrid>
      <w:tr w:rsidR="004F4773" w:rsidRPr="00C70168" w14:paraId="31E8461E" w14:textId="77777777" w:rsidTr="008571F5">
        <w:tc>
          <w:tcPr>
            <w:tcW w:w="9330" w:type="dxa"/>
            <w:gridSpan w:val="2"/>
            <w:shd w:val="clear" w:color="auto" w:fill="8EAADB" w:themeFill="accent1" w:themeFillTint="99"/>
          </w:tcPr>
          <w:p w14:paraId="540F6E88" w14:textId="680F6D58" w:rsidR="004F4773" w:rsidRPr="008571F5" w:rsidRDefault="004F4773" w:rsidP="00FB4E6F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C70168">
              <w:rPr>
                <w:rFonts w:ascii="Arial" w:hAnsi="Arial" w:cs="Arial"/>
                <w:b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10</w:t>
            </w:r>
            <w:r w:rsidRPr="00C70168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управљања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високошколском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установом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Pr="00A561FF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квалитет</w:t>
            </w:r>
            <w:proofErr w:type="spellEnd"/>
            <w:r w:rsidRPr="00A561F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  <w:b/>
              </w:rPr>
              <w:t>ненаставне</w:t>
            </w:r>
            <w:proofErr w:type="spellEnd"/>
            <w:r>
              <w:rPr>
                <w:rFonts w:ascii="Arial" w:hAnsi="Arial" w:cs="Arial"/>
                <w:b/>
                <w:lang w:val="sr-Cyrl-RS"/>
              </w:rPr>
              <w:t xml:space="preserve"> подршке</w:t>
            </w:r>
            <w:r w:rsidR="008571F5">
              <w:rPr>
                <w:rFonts w:ascii="Arial" w:hAnsi="Arial" w:cs="Arial"/>
                <w:b/>
                <w:lang w:val="sr-Latn-RS"/>
              </w:rPr>
              <w:t xml:space="preserve"> </w:t>
            </w:r>
            <w:proofErr w:type="spellStart"/>
            <w:r w:rsidR="008571F5">
              <w:rPr>
                <w:rFonts w:ascii="Arial" w:hAnsi="Arial" w:cs="Arial"/>
                <w:b/>
                <w:lang w:val="sr-Cyrl-RS"/>
              </w:rPr>
              <w:t>ДАС</w:t>
            </w:r>
            <w:proofErr w:type="spellEnd"/>
            <w:r w:rsidR="008571F5">
              <w:rPr>
                <w:rFonts w:ascii="Arial" w:hAnsi="Arial" w:cs="Arial"/>
                <w:b/>
                <w:lang w:val="sr-Cyrl-RS"/>
              </w:rPr>
              <w:t xml:space="preserve"> Хемија</w:t>
            </w:r>
          </w:p>
          <w:p w14:paraId="6F10343D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високошколском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установом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квалитет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ненаставне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подршке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се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</w:p>
          <w:p w14:paraId="5BB10A62" w14:textId="77777777" w:rsidR="004F4773" w:rsidRPr="00A561FF" w:rsidRDefault="004F4773" w:rsidP="00FB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sr-Cyrl-RS"/>
              </w:rPr>
            </w:pPr>
            <w:proofErr w:type="spellStart"/>
            <w:r w:rsidRPr="00A561FF">
              <w:rPr>
                <w:rFonts w:ascii="Arial" w:hAnsi="Arial" w:cs="Arial"/>
              </w:rPr>
              <w:t>обезбеђује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утврђивањем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надлежности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одговорности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органа</w:t>
            </w:r>
            <w:proofErr w:type="spellEnd"/>
            <w:r w:rsidRPr="00A561FF">
              <w:rPr>
                <w:rFonts w:ascii="Arial" w:hAnsi="Arial" w:cs="Arial"/>
              </w:rPr>
              <w:t xml:space="preserve"> </w:t>
            </w:r>
            <w:proofErr w:type="spellStart"/>
            <w:r w:rsidRPr="00A561FF">
              <w:rPr>
                <w:rFonts w:ascii="Arial" w:hAnsi="Arial" w:cs="Arial"/>
              </w:rPr>
              <w:t>управљања</w:t>
            </w:r>
            <w:proofErr w:type="spellEnd"/>
            <w:r w:rsidRPr="00A561FF">
              <w:rPr>
                <w:rFonts w:ascii="Arial" w:hAnsi="Arial" w:cs="Arial"/>
              </w:rPr>
              <w:t xml:space="preserve"> и </w:t>
            </w:r>
            <w:proofErr w:type="spellStart"/>
            <w:r w:rsidRPr="00A561FF">
              <w:rPr>
                <w:rFonts w:ascii="Arial" w:hAnsi="Arial" w:cs="Arial"/>
              </w:rPr>
              <w:t>јединица</w:t>
            </w:r>
            <w:proofErr w:type="spellEnd"/>
            <w:r w:rsidRPr="00A561FF">
              <w:rPr>
                <w:rFonts w:ascii="Arial" w:hAnsi="Arial" w:cs="Arial"/>
              </w:rPr>
              <w:t xml:space="preserve"> з</w:t>
            </w:r>
            <w:r>
              <w:rPr>
                <w:rFonts w:ascii="Arial" w:hAnsi="Arial" w:cs="Arial"/>
                <w:lang w:val="sr-Cyrl-RS"/>
              </w:rPr>
              <w:t xml:space="preserve">а </w:t>
            </w:r>
            <w:r w:rsidRPr="00A561FF">
              <w:rPr>
                <w:rFonts w:ascii="Arial" w:hAnsi="Arial" w:cs="Arial"/>
                <w:lang w:val="sr-Cyrl-RS"/>
              </w:rPr>
              <w:t>ненаставну подршку и перманентним праћењем и провером њиховог рада.</w:t>
            </w:r>
          </w:p>
        </w:tc>
      </w:tr>
      <w:tr w:rsidR="004F4773" w:rsidRPr="00C70168" w14:paraId="656B56AC" w14:textId="77777777" w:rsidTr="008571F5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36D6B1AF" w14:textId="77777777" w:rsidR="004F4773" w:rsidRPr="007B4EC5" w:rsidRDefault="004F4773" w:rsidP="00FB4E6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sr-Latn-RS"/>
              </w:rPr>
            </w:pPr>
            <w:r w:rsidRPr="00C70168">
              <w:rPr>
                <w:rFonts w:ascii="Arial" w:hAnsi="Arial" w:cs="Arial"/>
                <w:b/>
                <w:color w:val="auto"/>
                <w:sz w:val="22"/>
                <w:szCs w:val="22"/>
                <w:lang w:val="sr-Cyrl-RS"/>
              </w:rPr>
              <w:t xml:space="preserve">а) Опис стања, анализа и процена стандарда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sr-Latn-RS"/>
              </w:rPr>
              <w:t>10</w:t>
            </w:r>
          </w:p>
        </w:tc>
      </w:tr>
      <w:tr w:rsidR="004F4773" w:rsidRPr="00C70168" w14:paraId="791307DE" w14:textId="77777777" w:rsidTr="008571F5">
        <w:tc>
          <w:tcPr>
            <w:tcW w:w="9330" w:type="dxa"/>
            <w:gridSpan w:val="2"/>
            <w:shd w:val="clear" w:color="auto" w:fill="auto"/>
          </w:tcPr>
          <w:p w14:paraId="61E8E4FE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A5BC51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пословођења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њихове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организацији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Факултетом</w:t>
            </w:r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E17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4B4E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ословни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цима</w:t>
            </w:r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органа</w:t>
            </w:r>
            <w:r w:rsidRPr="004B4E1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36334F" w14:textId="77777777" w:rsidR="004F4773" w:rsidRPr="00A8266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Факултет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које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својим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стручним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професионалним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радом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успешну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реализацију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студијских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програма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циљева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0709A">
              <w:rPr>
                <w:rFonts w:ascii="Arial" w:hAnsi="Arial" w:cs="Arial"/>
                <w:sz w:val="22"/>
                <w:szCs w:val="22"/>
              </w:rPr>
              <w:t>установе</w:t>
            </w:r>
            <w:proofErr w:type="spellEnd"/>
            <w:r w:rsidRPr="006070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</w:t>
            </w:r>
            <w:r w:rsidRPr="00F745C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обезбеђује број и квалитет ненаставног особља у складу са стандардима за акредитацију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библиотекара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организује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студентску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службу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шест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пет</w:t>
            </w:r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високим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образовањем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информатичког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система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извршиоца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дипломираног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правника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пословима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C5855">
              <w:rPr>
                <w:rFonts w:ascii="Arial" w:hAnsi="Arial" w:cs="Arial"/>
                <w:sz w:val="22"/>
                <w:szCs w:val="22"/>
              </w:rPr>
              <w:t>секретара</w:t>
            </w:r>
            <w:proofErr w:type="spellEnd"/>
            <w:r w:rsidRPr="004C5855">
              <w:rPr>
                <w:rFonts w:ascii="Arial" w:hAnsi="Arial" w:cs="Arial"/>
                <w:sz w:val="22"/>
                <w:szCs w:val="22"/>
              </w:rPr>
              <w:t>.</w:t>
            </w:r>
            <w:r w:rsidRPr="0060709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755B4D4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високошколском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установом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обезбеђује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утврђивањем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одговорности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ненаставну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подршку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перманентним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праћењем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провером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њиховог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D53C1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5D53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AB01560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Орган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Састав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поступак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утврђени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складу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Законом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високом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образовању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а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начин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одлучивања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Пословником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наjбитнијим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доношење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стратегија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обезбеђења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финансијски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план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.);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давање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управљању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имовином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сагласности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расподелу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</w:t>
            </w:r>
            <w:r>
              <w:rPr>
                <w:rFonts w:ascii="Arial" w:hAnsi="Arial" w:cs="Arial"/>
                <w:sz w:val="22"/>
                <w:szCs w:val="22"/>
              </w:rPr>
              <w:t>инансијских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усвајање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коришћења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средстава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утврђивање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висине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школарине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др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Истовремено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изборну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бира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разрешава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декана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продекане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)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контролну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функцију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разматрањем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извештаје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остварењу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планских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програмских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докумената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Питања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којима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одлучује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претходно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разматра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Наставно-научно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веће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Одлуке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засноване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важећим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Одговорност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Савета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дефинисана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позитивним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прописима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Статутом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општим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актима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813F8">
              <w:rPr>
                <w:rFonts w:ascii="Arial" w:hAnsi="Arial" w:cs="Arial"/>
                <w:sz w:val="22"/>
                <w:szCs w:val="22"/>
              </w:rPr>
              <w:t>Факултета</w:t>
            </w:r>
            <w:proofErr w:type="spellEnd"/>
            <w:r w:rsidRPr="001813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30DE7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Орган руковођења Факултетом је декан. Услови за избор декана утврђени су Законом, а начин и поступак избора и његове надлежности Статутом Факултета, у складу са законом. У складу са својим надлежностима декан представља и заступа Факултет и руководи његовим радом.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Руковођење обухвата планирање, организовање, вођење, праћење, евалуацију, унапређивање и контролу рада Факултета. Послови руковођења обављају се у границама овлашћења, законито и благовремено.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 је одговоран за законитост рада Факултета, функционисање система управљања квалитетом, спровођење утврђених стандарда квалитета у свим областима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Декану у раду помажу продекани чије су надлежности утврђене Статутом Факултета.</w:t>
            </w:r>
          </w:p>
          <w:p w14:paraId="4DD345DC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Декан,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развоја, утврђивање мерљивих циљева и индикатора њиховог остваривања, стално периодично испитивање система обезбеђења квалитета ради повећања ефективности и ефикасности.</w:t>
            </w:r>
          </w:p>
          <w:p w14:paraId="3D2BDF77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Ненаставну подршку раду Факултета пружа Секретаријат, кога чине секретар и стручне службе дефинисане у Статуту Факултета. Радом служби руководи секретар.</w:t>
            </w:r>
          </w:p>
          <w:p w14:paraId="5728AA33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Свака служба има свог шефа који непосредно организује и руководи радом службе.</w:t>
            </w:r>
          </w:p>
          <w:p w14:paraId="4E165BC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Подела послова унутар служби Секретаријата, њихов опис, услови за рад (квалификације), дужности и одговорности за свако радно место запослених ван наставе утврђени су </w:t>
            </w:r>
            <w:r w:rsidRPr="00E9139E">
              <w:rPr>
                <w:rFonts w:ascii="Arial" w:hAnsi="Arial" w:cs="Arial"/>
                <w:i/>
                <w:sz w:val="22"/>
                <w:szCs w:val="22"/>
                <w:lang w:val="sr-Cyrl-RS"/>
              </w:rPr>
              <w:t>Правилником о систематизацији радних места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који представља акт кадровске политике.</w:t>
            </w:r>
          </w:p>
          <w:p w14:paraId="4ACC387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Мерила за процену радних места јесу: сложеност послова, самосталност у раду, одговорност, пословна комуникација и компетентност. Број запослених усклађује се са акредитационим захтевима.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Основни принципи професионалног понашања у раду служби Секретаријата јесу: уредност; економичност; будност и, у првом реду, тачност заснована на закону; стално стручно усавршавање праћењем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стручне литературе, учествовање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на стручним семинарима и курсевима.</w:t>
            </w:r>
          </w:p>
          <w:p w14:paraId="179FE0AA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Стандарди рада служби утврђени су општим актима Факултета којима се уређују одговарајуће области рада, у складу са позитивним прописима.</w:t>
            </w:r>
          </w:p>
          <w:p w14:paraId="6B7A97A5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Радни однос са ненаставним особљем заснива се сагласно одредбама важећих прописа из области рада.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Процена потенцијалних кандидата обавља се на основу документације о квалификацијама и референци, као и на основу општег утиска који кандидат оставља у непосредном разговору са деканом, секретаром или шефом одговарајуће службе (професионална компетентност, начин изражавања, информи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softHyphen/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ност и др).</w:t>
            </w:r>
          </w:p>
          <w:p w14:paraId="5918967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Увођење у посао, односно оспособљавање за самостално обављање послова спроводи се како на новозапослене, тако и на запослене распоређене на друга радна места. Увођење у посао обавља непосредни руководилац службе и оно обухвата: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упознавање са организацијом и описом послова, прописима које се односе на одговарајућу врсту посла, нормативним актима и правилима рада.</w:t>
            </w:r>
          </w:p>
          <w:p w14:paraId="1F523BDD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Период увођења у посао одређује непосредни руководилац, односно шеф службе и зависи од врсте и сложености послова. На крају периода рада под надзором спроводи се процена оспособљености и на основу тога предузимају даље мере.</w:t>
            </w:r>
          </w:p>
          <w:p w14:paraId="30CF49D4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спречава сваки вид непосредне и посредне дискриминације лица приликом избора кандидата за запошљавање и обављање одређеног посла, као и запослених.</w:t>
            </w:r>
          </w:p>
          <w:p w14:paraId="1B501ADE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 управљања и квалитет ненаставне подршке обезбеђују се: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систематским праћењем, контролом и извештавањем о њиховом раду; предузимањем подстицајних и корективних мера према запосленима; оцењивањем квалитета рада органа и служби Факултета и унапређивањем професионалних компетенција запослених ван наставе.</w:t>
            </w:r>
          </w:p>
          <w:p w14:paraId="6B2369BF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Факултет обезбеђује запосленима радно окружење које је подстицајно за њихов рад.</w:t>
            </w:r>
          </w:p>
          <w:p w14:paraId="489CBFF1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Из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вештаји о раду органа управљања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, руковођења, стручних органа и о раду служби Факултета саставни су део извештаја о раду Факултета који сваке године разматра и усваја Савет, на предлог Наставно-научног већа.</w:t>
            </w:r>
          </w:p>
          <w:p w14:paraId="407C6E9F" w14:textId="77777777" w:rsidR="004F4773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омисија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обезбеђење 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квалитет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периодично спроводи анкету којом испитује ставове, мишљења и оцене наставника, сарадника, ненаставног особља и студентата о раду и деловању органа Факултета и ненаставног особља. Извештај о резултатима анкете Комисија подноси Савету. На основу објективно утврђених слабости и пропуста у раду утврђују се мере за њихово отклањање.</w:t>
            </w:r>
          </w:p>
          <w:p w14:paraId="00AC9D16" w14:textId="77777777" w:rsidR="004F4773" w:rsidRPr="008228A7" w:rsidRDefault="004F4773" w:rsidP="00FB4E6F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4F4773" w:rsidRPr="00C70168" w14:paraId="2A5B8782" w14:textId="77777777" w:rsidTr="008571F5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A21B64D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б)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Процена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испуњености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(SWOT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анализа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F4773" w:rsidRPr="00C70168" w14:paraId="1552D2B5" w14:textId="77777777" w:rsidTr="008571F5">
        <w:tc>
          <w:tcPr>
            <w:tcW w:w="9330" w:type="dxa"/>
            <w:gridSpan w:val="2"/>
            <w:shd w:val="clear" w:color="auto" w:fill="auto"/>
          </w:tcPr>
          <w:p w14:paraId="146A5069" w14:textId="77777777" w:rsidR="004F4773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D9B78E0" w14:textId="77777777" w:rsidR="004F4773" w:rsidRPr="001813F8" w:rsidRDefault="004F4773" w:rsidP="00FB4E6F">
            <w:pPr>
              <w:pStyle w:val="Default"/>
              <w:spacing w:after="120"/>
              <w:ind w:firstLine="7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У оквиру стандарда 10, Факултет је анализирао и квантитативно оценио следеће елементе:</w:t>
            </w:r>
          </w:p>
          <w:p w14:paraId="60791412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надлежности органа управљања, пословођења и стручних органа +++</w:t>
            </w:r>
          </w:p>
          <w:p w14:paraId="2003E98E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адлежност свих руководећих структура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 ј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асно дефинисана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што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омогућава ефикасан рад Факултета.</w:t>
            </w:r>
          </w:p>
          <w:p w14:paraId="5123BF75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6374C14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организационе структуре +++</w:t>
            </w:r>
          </w:p>
          <w:p w14:paraId="112859A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Организациона структура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надлежности органа управљања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органа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пословођења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које су регулисане Статутом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ПМФ-а, су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јасно дефинисан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 Сваки продекан је задужен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 одговоран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одређену област, чиме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је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ено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ефикасниј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пословање Факултета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40320DF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10EB5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управљања институцијом, мере за унапређење +++</w:t>
            </w:r>
          </w:p>
          <w:p w14:paraId="7F22659D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Комисија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обезбеђење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квалитета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перманетну контролу наставног процеса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руководећих структура,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рада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стручних служби. Евалуација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квалитета се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врши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анкетирањем студената, наставника и ненаставног особља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</w:p>
          <w:p w14:paraId="65A12A8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2E9457F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Праћење и оцењивање квалитета рада стручних служби и ненаставног особља, мере за унапређење +++</w:t>
            </w:r>
          </w:p>
          <w:p w14:paraId="7A1C0BC6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Факултетска комисија за квалитет периодично спроводи анкету којом испитује ставове, мишљења и оцене наставника, сарадника, ненаставног особља и студентата о раду стручних служби и ненаставног особља. Извештај о резултатима анкете Комисија подноси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Наставно-научном већу</w:t>
            </w:r>
            <w:r w:rsidRPr="008228A7">
              <w:rPr>
                <w:rFonts w:ascii="Arial" w:hAnsi="Arial" w:cs="Arial"/>
                <w:sz w:val="22"/>
                <w:szCs w:val="22"/>
                <w:lang w:val="sr-Cyrl-RS"/>
              </w:rPr>
              <w:t>. На основу објективно утврђених слабости и пропуста у раду утврђују се мере за њихово отклањање.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20FCA7D6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7BF8ECB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Дефинисаност и доступност услова за напредовање ненаставног особља ++</w:t>
            </w:r>
          </w:p>
          <w:p w14:paraId="2AD5B141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Напредовање ненаставног особља представља важан аспект рада стручних служби и у домену рада је руководилаца стручних служби. </w:t>
            </w:r>
          </w:p>
          <w:p w14:paraId="62FDC43B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3C5DFF6C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Доступност релеватних информација о раду стручних служби и органа управљања +++</w:t>
            </w:r>
          </w:p>
          <w:p w14:paraId="7D1CB2F7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>интернет сајт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Факултета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доступне су информације 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 раду стручних служби и органа управљања. На Наставно-научном већу се анализирају добијени резултати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приликом анкетирања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нкете дају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оцену</w:t>
            </w:r>
            <w:r w:rsidRPr="001813F8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рада органа управљања и свих стручних служби, са могућношћу указивања на пропусте и добре поступке у раду свих служби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510A9AAD" w14:textId="77777777" w:rsidR="004F4773" w:rsidRPr="001813F8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1EDCBCE3" w14:textId="77777777" w:rsidR="004F4773" w:rsidRPr="001813F8" w:rsidRDefault="004F4773" w:rsidP="004F4773">
            <w:pPr>
              <w:pStyle w:val="Default"/>
              <w:numPr>
                <w:ilvl w:val="0"/>
                <w:numId w:val="1"/>
              </w:numPr>
              <w:spacing w:after="120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1813F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Перманентно усавршавање и образовање ненаставног особља +</w:t>
            </w:r>
          </w:p>
          <w:p w14:paraId="1547025F" w14:textId="77777777" w:rsidR="004F4773" w:rsidRDefault="004F4773" w:rsidP="00FB4E6F">
            <w:pPr>
              <w:pStyle w:val="Default"/>
              <w:ind w:left="284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Потребно је развити програм </w:t>
            </w: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усавршавања и образовања целокупног ненаставног особља. </w:t>
            </w:r>
          </w:p>
          <w:p w14:paraId="6032A8F0" w14:textId="77777777" w:rsidR="004F4773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078B1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  <w:p w14:paraId="1287E265" w14:textId="77777777" w:rsidR="004F4773" w:rsidRPr="00C70168" w:rsidRDefault="004F4773" w:rsidP="00FB4E6F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Квантификација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процене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предности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слабости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могућности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опасности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испитиваних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елемената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извршена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следећих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показатеља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05030E" w14:textId="77777777" w:rsidR="004F4773" w:rsidRPr="00C70168" w:rsidRDefault="004F4773" w:rsidP="00FB4E6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0168">
              <w:rPr>
                <w:rFonts w:ascii="Arial" w:hAnsi="Arial" w:cs="Arial"/>
                <w:sz w:val="22"/>
                <w:szCs w:val="22"/>
              </w:rPr>
              <w:t xml:space="preserve">+++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високо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proofErr w:type="gramStart"/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gram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средње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мало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значајно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; </w:t>
            </w:r>
            <w:r w:rsidRPr="00C701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C7016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70168">
              <w:rPr>
                <w:rFonts w:ascii="Arial" w:hAnsi="Arial" w:cs="Arial"/>
                <w:sz w:val="22"/>
                <w:szCs w:val="22"/>
              </w:rPr>
              <w:t>без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значаја</w:t>
            </w:r>
            <w:proofErr w:type="spellEnd"/>
          </w:p>
        </w:tc>
      </w:tr>
      <w:tr w:rsidR="004F4773" w:rsidRPr="00C70168" w14:paraId="58FA6DAA" w14:textId="77777777" w:rsidTr="008571F5">
        <w:tc>
          <w:tcPr>
            <w:tcW w:w="4655" w:type="dxa"/>
            <w:shd w:val="clear" w:color="auto" w:fill="E5B8B7"/>
          </w:tcPr>
          <w:p w14:paraId="256A1A16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lastRenderedPageBreak/>
              <w:t>СНАГЕ</w:t>
            </w:r>
          </w:p>
          <w:p w14:paraId="72778E8A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06ED5">
              <w:rPr>
                <w:rFonts w:ascii="Arial" w:hAnsi="Arial" w:cs="Arial"/>
                <w:sz w:val="22"/>
                <w:szCs w:val="22"/>
                <w:lang w:val="sr-Cyrl-RS"/>
              </w:rPr>
              <w:t>Органи управљања и органи пословођења, њихове надлежности и одговорности у организацији и управљању Факултетом утврђени су Статутом Факултета у складу са законо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</w:t>
            </w:r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6FA42816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деловања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стручних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служби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су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јасно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7A2B9D3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Квалитет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Факултетом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редовно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оцењује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  <w:p w14:paraId="08BF8170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53FF2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ненастави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користе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технологије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подржане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новим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софтверима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чиме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се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53FF2">
              <w:rPr>
                <w:rFonts w:ascii="Arial" w:hAnsi="Arial" w:cs="Arial"/>
                <w:sz w:val="22"/>
                <w:szCs w:val="22"/>
              </w:rPr>
              <w:t>повећава</w:t>
            </w:r>
            <w:proofErr w:type="spellEnd"/>
            <w:r w:rsidRPr="00953FF2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ефикасност</w:t>
            </w:r>
            <w:proofErr w:type="spellEnd"/>
            <w:proofErr w:type="gramEnd"/>
            <w:r w:rsidRPr="00953FF2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953FF2">
              <w:rPr>
                <w:rFonts w:ascii="Arial" w:hAnsi="Arial" w:cs="Arial"/>
                <w:sz w:val="22"/>
                <w:szCs w:val="22"/>
              </w:rPr>
              <w:t>раду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BD4B4"/>
          </w:tcPr>
          <w:p w14:paraId="35D5587D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Слабости</w:t>
            </w:r>
          </w:p>
          <w:p w14:paraId="54B09318" w14:textId="77777777" w:rsidR="004F4773" w:rsidRPr="00C70168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Недостатак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перманентног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усавршавања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образовања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 w:rsidRPr="00C70168">
              <w:rPr>
                <w:rFonts w:ascii="Arial" w:hAnsi="Arial" w:cs="Arial"/>
                <w:sz w:val="22"/>
                <w:szCs w:val="22"/>
              </w:rPr>
              <w:t>.</w:t>
            </w:r>
            <w:r w:rsidRPr="00C70168">
              <w:rPr>
                <w:rFonts w:ascii="Arial" w:hAnsi="Arial" w:cs="Arial"/>
                <w:sz w:val="22"/>
                <w:szCs w:val="22"/>
              </w:rPr>
              <w:tab/>
              <w:t>++</w:t>
            </w:r>
          </w:p>
          <w:p w14:paraId="1507D7D6" w14:textId="77777777" w:rsidR="004F4773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Недовољно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познавање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језика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од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стране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једног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дела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запослених</w:t>
            </w:r>
            <w:proofErr w:type="spellEnd"/>
            <w:r w:rsidRPr="00894C7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894C73">
              <w:rPr>
                <w:rFonts w:ascii="Arial" w:hAnsi="Arial" w:cs="Arial"/>
                <w:sz w:val="22"/>
                <w:szCs w:val="22"/>
              </w:rPr>
              <w:t>ненастав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и...............++</w:t>
            </w:r>
          </w:p>
          <w:p w14:paraId="68EFF798" w14:textId="77777777" w:rsidR="004F4773" w:rsidRPr="00547FBC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Недовољна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комуникациј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управе Факултета са Студентским парламентом у решавању уочених проблема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..............++</w:t>
            </w:r>
          </w:p>
        </w:tc>
      </w:tr>
      <w:tr w:rsidR="004F4773" w:rsidRPr="00C70168" w14:paraId="6FCF9DE7" w14:textId="77777777" w:rsidTr="008571F5">
        <w:tc>
          <w:tcPr>
            <w:tcW w:w="4655" w:type="dxa"/>
            <w:shd w:val="clear" w:color="auto" w:fill="F2DBDB"/>
          </w:tcPr>
          <w:p w14:paraId="1A4DFEB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sz w:val="22"/>
                <w:szCs w:val="22"/>
              </w:rPr>
              <w:t>МОГУЋНОСТИ</w:t>
            </w:r>
          </w:p>
          <w:p w14:paraId="3D321BF5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Учешће на међународним пројектима који дају могућност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увид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менаџмент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високообразовних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институција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Европи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, као и едукацију ненаставног особља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+++</w:t>
            </w:r>
          </w:p>
        </w:tc>
        <w:tc>
          <w:tcPr>
            <w:tcW w:w="4675" w:type="dxa"/>
            <w:shd w:val="clear" w:color="auto" w:fill="FDE9D9"/>
          </w:tcPr>
          <w:p w14:paraId="46675F8B" w14:textId="77777777" w:rsidR="004F4773" w:rsidRPr="00C70168" w:rsidRDefault="004F4773" w:rsidP="00FB4E6F">
            <w:pPr>
              <w:pStyle w:val="Default"/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C70168">
              <w:rPr>
                <w:rFonts w:ascii="Arial" w:hAnsi="Arial" w:cs="Arial"/>
                <w:b/>
                <w:caps/>
                <w:sz w:val="22"/>
                <w:szCs w:val="22"/>
              </w:rPr>
              <w:t>ОПАСНОСТИ</w:t>
            </w:r>
          </w:p>
          <w:p w14:paraId="06C933A9" w14:textId="77777777" w:rsidR="004F4773" w:rsidRPr="00B240C4" w:rsidRDefault="004F4773" w:rsidP="00FB4E6F">
            <w:pPr>
              <w:pStyle w:val="Default"/>
              <w:tabs>
                <w:tab w:val="right" w:leader="dot" w:pos="4587"/>
              </w:tabs>
              <w:spacing w:after="120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Услед н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едовољно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дефинисани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х</w:t>
            </w:r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услов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а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напредовање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B240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40C4">
              <w:rPr>
                <w:rFonts w:ascii="Arial" w:hAnsi="Arial" w:cs="Arial"/>
                <w:sz w:val="22"/>
                <w:szCs w:val="22"/>
              </w:rPr>
              <w:t>особља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одсуство мотивације за унапређењем квалитета 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  <w:t>+</w:t>
            </w:r>
          </w:p>
        </w:tc>
      </w:tr>
      <w:tr w:rsidR="004F4773" w:rsidRPr="00C70168" w14:paraId="3EC61891" w14:textId="77777777" w:rsidTr="008571F5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0AE99A0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Предлог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мера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активности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унапређење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квалитета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>стандарда</w:t>
            </w:r>
            <w:proofErr w:type="spellEnd"/>
            <w:r w:rsidRPr="00C701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4F4773" w:rsidRPr="00C70168" w14:paraId="25AFD55F" w14:textId="77777777" w:rsidTr="008571F5">
        <w:tc>
          <w:tcPr>
            <w:tcW w:w="9330" w:type="dxa"/>
            <w:gridSpan w:val="2"/>
            <w:shd w:val="clear" w:color="auto" w:fill="auto"/>
          </w:tcPr>
          <w:p w14:paraId="50A94459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08AFE3BA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Повећати комуникацију управе Факултета са Студентским парламентом у решавању уочених проблема. </w:t>
            </w:r>
          </w:p>
          <w:p w14:paraId="5EBFFE6E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Повећати број промотивних публикација Факултета и видљивост институције. Могућност ангажовања маркетиншке агенције.</w:t>
            </w:r>
          </w:p>
          <w:p w14:paraId="0690B415" w14:textId="77777777" w:rsidR="004F4773" w:rsidRPr="003F7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Сајт Факултета је потребно редизајнирати. Вршити анкетирање студената и наставника о дизајну и  информацијама које пружа сајт.</w:t>
            </w:r>
          </w:p>
          <w:p w14:paraId="78592F3D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7773">
              <w:rPr>
                <w:rFonts w:ascii="Arial" w:hAnsi="Arial" w:cs="Arial"/>
                <w:sz w:val="22"/>
                <w:szCs w:val="22"/>
                <w:lang w:val="sr-Cyrl-RS"/>
              </w:rPr>
      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      </w:r>
          </w:p>
          <w:p w14:paraId="10763E69" w14:textId="77777777" w:rsidR="004F4773" w:rsidRPr="00C4361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Комисија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обезбеђење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ће 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акционим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плановима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предвид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ети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едукациј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у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комплетног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собља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из области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тандард</w:t>
            </w:r>
            <w:r w:rsidRPr="00C436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акредитацију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Благовременом едукацијом ненаставног особља о потребним информацијама и врсти анализе у процесу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самовредновања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омогућиће се континуално прикупљање информација и показатеља испуњености стандарда.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Исто важи и за процес акредитације. </w:t>
            </w:r>
          </w:p>
          <w:p w14:paraId="2344F061" w14:textId="77777777" w:rsidR="004F4773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А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нкетирањем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управљања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подршке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наредном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периоду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у већој мери ће бити укључено 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ненаставно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особље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како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запослени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добили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прилику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оцене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своје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службе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сопствени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као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колега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других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организационих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јединица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Процењивање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сопственог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рада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доприноси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испуњености стандарда квалитета али</w:t>
            </w:r>
            <w:r w:rsidRPr="00C4361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развијању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организационе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културе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квалитета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3613">
              <w:rPr>
                <w:rFonts w:ascii="Arial" w:hAnsi="Arial" w:cs="Arial"/>
                <w:sz w:val="22"/>
                <w:szCs w:val="22"/>
              </w:rPr>
              <w:t>Факултету</w:t>
            </w:r>
            <w:proofErr w:type="spellEnd"/>
            <w:r w:rsidRPr="00C4361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6C66F7D" w14:textId="77777777" w:rsidR="004F4773" w:rsidRPr="00222368" w:rsidRDefault="004F4773" w:rsidP="00FB4E6F">
            <w:pPr>
              <w:pStyle w:val="Default"/>
              <w:ind w:firstLine="8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773" w:rsidRPr="00C70168" w14:paraId="45D8EAAD" w14:textId="77777777" w:rsidTr="008571F5">
        <w:trPr>
          <w:trHeight w:val="283"/>
        </w:trPr>
        <w:tc>
          <w:tcPr>
            <w:tcW w:w="9330" w:type="dxa"/>
            <w:gridSpan w:val="2"/>
            <w:shd w:val="clear" w:color="auto" w:fill="D9E2F3" w:themeFill="accent1" w:themeFillTint="33"/>
            <w:vAlign w:val="center"/>
          </w:tcPr>
          <w:p w14:paraId="65995183" w14:textId="77777777" w:rsidR="004F4773" w:rsidRPr="00C70168" w:rsidRDefault="004F4773" w:rsidP="00FB4E6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Показатељи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прилози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70168">
              <w:rPr>
                <w:rFonts w:ascii="Arial" w:hAnsi="Arial" w:cs="Arial"/>
                <w:b/>
                <w:sz w:val="22"/>
                <w:szCs w:val="22"/>
              </w:rPr>
              <w:t>стандард</w:t>
            </w:r>
            <w:proofErr w:type="spellEnd"/>
            <w:r w:rsidRPr="00C70168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4F4773" w:rsidRPr="00C70168" w14:paraId="369BC209" w14:textId="77777777" w:rsidTr="008571F5">
        <w:tc>
          <w:tcPr>
            <w:tcW w:w="9330" w:type="dxa"/>
            <w:gridSpan w:val="2"/>
            <w:shd w:val="clear" w:color="auto" w:fill="auto"/>
          </w:tcPr>
          <w:p w14:paraId="2DAFD1C1" w14:textId="16A72B6A" w:rsidR="004F4773" w:rsidRPr="002C2038" w:rsidRDefault="000927D9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  <w:b/>
              </w:rPr>
            </w:pPr>
            <w:hyperlink r:id="rId5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Табела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Број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ненаставних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радника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стално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запослених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високошколској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r w:rsidR="004F4773" w:rsidRPr="0076391A">
                <w:rPr>
                  <w:rStyle w:val="Hyperlink"/>
                  <w:rFonts w:ascii="Arial" w:hAnsi="Arial" w:cs="Arial"/>
                </w:rPr>
                <w:br/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у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оквиру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одговарај</w:t>
              </w:r>
              <w:bookmarkStart w:id="0" w:name="_GoBack"/>
              <w:bookmarkEnd w:id="0"/>
              <w:r w:rsidR="004F4773" w:rsidRPr="0076391A">
                <w:rPr>
                  <w:rStyle w:val="Hyperlink"/>
                  <w:rFonts w:ascii="Arial" w:hAnsi="Arial" w:cs="Arial"/>
                </w:rPr>
                <w:t>ућ</w:t>
              </w:r>
              <w:r w:rsidR="004F4773" w:rsidRPr="0076391A">
                <w:rPr>
                  <w:rStyle w:val="Hyperlink"/>
                  <w:rFonts w:ascii="Arial" w:hAnsi="Arial" w:cs="Arial"/>
                </w:rPr>
                <w:t>и</w:t>
              </w:r>
              <w:r w:rsidR="004F4773" w:rsidRPr="0076391A">
                <w:rPr>
                  <w:rStyle w:val="Hyperlink"/>
                  <w:rFonts w:ascii="Arial" w:hAnsi="Arial" w:cs="Arial"/>
                </w:rPr>
                <w:t>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организационих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јединица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D0EA9F6" w14:textId="4D43779A" w:rsidR="004F4773" w:rsidRPr="002C2038" w:rsidRDefault="000927D9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6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10.1.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Шематска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организациона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структура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високошколске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установе</w:t>
              </w:r>
              <w:proofErr w:type="spellEnd"/>
            </w:hyperlink>
            <w:r w:rsidR="004F4773" w:rsidRPr="002C2038">
              <w:rPr>
                <w:rFonts w:ascii="Arial" w:hAnsi="Arial" w:cs="Arial"/>
              </w:rPr>
              <w:t xml:space="preserve"> </w:t>
            </w:r>
          </w:p>
          <w:p w14:paraId="469B1BD5" w14:textId="75828FD8" w:rsidR="004F4773" w:rsidRPr="002C2038" w:rsidRDefault="000927D9" w:rsidP="004F4773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ind w:left="447" w:hanging="283"/>
              <w:contextualSpacing w:val="0"/>
              <w:jc w:val="both"/>
              <w:rPr>
                <w:rFonts w:ascii="Arial" w:hAnsi="Arial" w:cs="Arial"/>
              </w:rPr>
            </w:pPr>
            <w:hyperlink r:id="rId7" w:history="1"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Прилог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10.2.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Aнализа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резу</w:t>
              </w:r>
              <w:r w:rsidR="004F4773" w:rsidRPr="0076391A">
                <w:rPr>
                  <w:rStyle w:val="Hyperlink"/>
                  <w:rFonts w:ascii="Arial" w:hAnsi="Arial" w:cs="Arial"/>
                </w:rPr>
                <w:t>л</w:t>
              </w:r>
              <w:r w:rsidR="004F4773" w:rsidRPr="0076391A">
                <w:rPr>
                  <w:rStyle w:val="Hyperlink"/>
                  <w:rFonts w:ascii="Arial" w:hAnsi="Arial" w:cs="Arial"/>
                </w:rPr>
                <w:t>тата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анкете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студената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о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процени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квалитета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органа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управљања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и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рада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стручних</w:t>
              </w:r>
              <w:proofErr w:type="spellEnd"/>
              <w:r w:rsidR="004F4773" w:rsidRPr="0076391A">
                <w:rPr>
                  <w:rStyle w:val="Hyperlink"/>
                  <w:rFonts w:ascii="Arial" w:hAnsi="Arial" w:cs="Arial"/>
                </w:rPr>
                <w:t xml:space="preserve"> </w:t>
              </w:r>
              <w:proofErr w:type="spellStart"/>
              <w:r w:rsidR="004F4773" w:rsidRPr="0076391A">
                <w:rPr>
                  <w:rStyle w:val="Hyperlink"/>
                  <w:rFonts w:ascii="Arial" w:hAnsi="Arial" w:cs="Arial"/>
                </w:rPr>
                <w:t>служби</w:t>
              </w:r>
              <w:proofErr w:type="spellEnd"/>
            </w:hyperlink>
          </w:p>
          <w:p w14:paraId="47878F92" w14:textId="77777777" w:rsidR="004F4773" w:rsidRPr="002B507A" w:rsidRDefault="004F4773" w:rsidP="00FB4E6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Arial" w:hAnsi="Arial" w:cs="Arial"/>
                <w:color w:val="000000"/>
                <w:lang w:val="sr-Cyrl-RS"/>
              </w:rPr>
            </w:pPr>
          </w:p>
        </w:tc>
      </w:tr>
    </w:tbl>
    <w:p w14:paraId="77FB00F5" w14:textId="09D87263" w:rsidR="009F1901" w:rsidRPr="009F1901" w:rsidRDefault="009F1901" w:rsidP="009F190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F1901">
        <w:rPr>
          <w:sz w:val="22"/>
          <w:szCs w:val="22"/>
        </w:rPr>
        <w:lastRenderedPageBreak/>
        <w:t> </w:t>
      </w:r>
    </w:p>
    <w:p w14:paraId="223C28F2" w14:textId="77777777" w:rsidR="005B04F6" w:rsidRDefault="005B04F6" w:rsidP="009F190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92FEDAE" w14:textId="77777777" w:rsidR="009F1901" w:rsidRPr="009F1901" w:rsidRDefault="009F1901" w:rsidP="009F190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F1901">
        <w:rPr>
          <w:rFonts w:eastAsia="Times New Roman" w:cs="Calibri"/>
        </w:rPr>
        <w:t> </w:t>
      </w:r>
    </w:p>
    <w:p w14:paraId="254B7420" w14:textId="4EBDF81D" w:rsidR="004F4773" w:rsidRDefault="004F4773" w:rsidP="004F4773"/>
    <w:p w14:paraId="4F66DE9E" w14:textId="77777777" w:rsidR="00FB4E6F" w:rsidRDefault="00FB4E6F"/>
    <w:sectPr w:rsidR="00FB4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45"/>
    <w:multiLevelType w:val="multilevel"/>
    <w:tmpl w:val="3D0660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3367C"/>
    <w:multiLevelType w:val="hybridMultilevel"/>
    <w:tmpl w:val="B32E9406"/>
    <w:lvl w:ilvl="0" w:tplc="177084D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50C8"/>
    <w:multiLevelType w:val="multilevel"/>
    <w:tmpl w:val="C1427C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C921A0"/>
    <w:multiLevelType w:val="multilevel"/>
    <w:tmpl w:val="61324C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0E01AB"/>
    <w:multiLevelType w:val="multilevel"/>
    <w:tmpl w:val="6390F7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057818"/>
    <w:multiLevelType w:val="hybridMultilevel"/>
    <w:tmpl w:val="126ACF86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371"/>
    <w:multiLevelType w:val="hybridMultilevel"/>
    <w:tmpl w:val="2EE69170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E432C"/>
    <w:multiLevelType w:val="multilevel"/>
    <w:tmpl w:val="729E9C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A1623E"/>
    <w:multiLevelType w:val="hybridMultilevel"/>
    <w:tmpl w:val="4202DAE4"/>
    <w:lvl w:ilvl="0" w:tplc="41C0B6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C2904"/>
    <w:multiLevelType w:val="multilevel"/>
    <w:tmpl w:val="850A5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5F31AE"/>
    <w:multiLevelType w:val="multilevel"/>
    <w:tmpl w:val="4DAC1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C1981"/>
    <w:multiLevelType w:val="multilevel"/>
    <w:tmpl w:val="32A2E7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C0DFE"/>
    <w:multiLevelType w:val="multilevel"/>
    <w:tmpl w:val="FC8C2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A0BE0"/>
    <w:multiLevelType w:val="multilevel"/>
    <w:tmpl w:val="95FA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565B00"/>
    <w:multiLevelType w:val="multilevel"/>
    <w:tmpl w:val="D1C657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13"/>
  </w:num>
  <w:num w:numId="6">
    <w:abstractNumId w:val="12"/>
  </w:num>
  <w:num w:numId="7">
    <w:abstractNumId w:val="9"/>
  </w:num>
  <w:num w:numId="8">
    <w:abstractNumId w:val="3"/>
  </w:num>
  <w:num w:numId="9">
    <w:abstractNumId w:val="2"/>
  </w:num>
  <w:num w:numId="10">
    <w:abstractNumId w:val="4"/>
  </w:num>
  <w:num w:numId="11">
    <w:abstractNumId w:val="14"/>
  </w:num>
  <w:num w:numId="12">
    <w:abstractNumId w:val="0"/>
  </w:num>
  <w:num w:numId="13">
    <w:abstractNumId w:val="1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73"/>
    <w:rsid w:val="000927D9"/>
    <w:rsid w:val="000D00A3"/>
    <w:rsid w:val="000F73DF"/>
    <w:rsid w:val="001226F4"/>
    <w:rsid w:val="00443621"/>
    <w:rsid w:val="004F4773"/>
    <w:rsid w:val="005527F0"/>
    <w:rsid w:val="005B04F6"/>
    <w:rsid w:val="00674D43"/>
    <w:rsid w:val="006C3A2D"/>
    <w:rsid w:val="007F2873"/>
    <w:rsid w:val="00820A3E"/>
    <w:rsid w:val="008571F5"/>
    <w:rsid w:val="008B6887"/>
    <w:rsid w:val="009F1901"/>
    <w:rsid w:val="00B65414"/>
    <w:rsid w:val="00CB7FA1"/>
    <w:rsid w:val="00D2293A"/>
    <w:rsid w:val="00D6622B"/>
    <w:rsid w:val="00D719DD"/>
    <w:rsid w:val="00F036CF"/>
    <w:rsid w:val="00F47D35"/>
    <w:rsid w:val="00FB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7A57"/>
  <w15:chartTrackingRefBased/>
  <w15:docId w15:val="{08F0F5D4-CB13-4657-8C30-0A97E6D9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7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47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47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4773"/>
    <w:pPr>
      <w:ind w:left="720"/>
      <w:contextualSpacing/>
    </w:pPr>
  </w:style>
  <w:style w:type="paragraph" w:customStyle="1" w:styleId="paragraph">
    <w:name w:val="paragraph"/>
    <w:basedOn w:val="Normal"/>
    <w:rsid w:val="00FB4E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B4E6F"/>
  </w:style>
  <w:style w:type="character" w:customStyle="1" w:styleId="eop">
    <w:name w:val="eop"/>
    <w:basedOn w:val="DefaultParagraphFont"/>
    <w:rsid w:val="00FB4E6F"/>
  </w:style>
  <w:style w:type="character" w:customStyle="1" w:styleId="spellingerror">
    <w:name w:val="spellingerror"/>
    <w:basedOn w:val="DefaultParagraphFont"/>
    <w:rsid w:val="00FB4E6F"/>
  </w:style>
  <w:style w:type="paragraph" w:customStyle="1" w:styleId="msonormal0">
    <w:name w:val="msonormal"/>
    <w:basedOn w:val="Normal"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run">
    <w:name w:val="textrun"/>
    <w:basedOn w:val="DefaultParagraphFont"/>
    <w:rsid w:val="009F1901"/>
  </w:style>
  <w:style w:type="character" w:styleId="FollowedHyperlink">
    <w:name w:val="FollowedHyperlink"/>
    <w:basedOn w:val="DefaultParagraphFont"/>
    <w:uiPriority w:val="99"/>
    <w:semiHidden/>
    <w:unhideWhenUsed/>
    <w:rsid w:val="000927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97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0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0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82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6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5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9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0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6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09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8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8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44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1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0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0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12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1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4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66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4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5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6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1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11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3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3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5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51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3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8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8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8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9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1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89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9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7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5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0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2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8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6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4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29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9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17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1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3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2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6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5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0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2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2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0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1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9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92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8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0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5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0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8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4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7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3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2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94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1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8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1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8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36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8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4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5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43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9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9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5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7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1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9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5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5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7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4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5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33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5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16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74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7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2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1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1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1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16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46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6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6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9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3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6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8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8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0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1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4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8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38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5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7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35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1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8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9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09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03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9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1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7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0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5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6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9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0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0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7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5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4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3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7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8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43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3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4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3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6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0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8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83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7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2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5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0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6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0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8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3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9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56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1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4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7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9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34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2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7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3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92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73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4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5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5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16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3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5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06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8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4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27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8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29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2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3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30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0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0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7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7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0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1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8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8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3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rilog_10_2_Analiza%20ankete%20kvalitet%20uprave%20i%20sluzb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_10_1_Sematska%20organizaciona%20struktura%20PMFa.docx" TargetMode="External"/><Relationship Id="rId5" Type="http://schemas.openxmlformats.org/officeDocument/2006/relationships/hyperlink" Target="Tabela%2010.1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abc</cp:lastModifiedBy>
  <cp:revision>14</cp:revision>
  <dcterms:created xsi:type="dcterms:W3CDTF">2019-11-30T11:14:00Z</dcterms:created>
  <dcterms:modified xsi:type="dcterms:W3CDTF">2019-12-10T21:38:00Z</dcterms:modified>
</cp:coreProperties>
</file>