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726"/>
        <w:gridCol w:w="4657"/>
      </w:tblGrid>
      <w:tr w:rsidR="006670D0" w:rsidRPr="00C70168" w14:paraId="008A2B69" w14:textId="77777777" w:rsidTr="00277BBE">
        <w:tc>
          <w:tcPr>
            <w:tcW w:w="9606" w:type="dxa"/>
            <w:gridSpan w:val="2"/>
            <w:shd w:val="clear" w:color="auto" w:fill="8EAADB" w:themeFill="accent1" w:themeFillTint="99"/>
          </w:tcPr>
          <w:p w14:paraId="2FAFC32C" w14:textId="7E55485E" w:rsidR="006670D0" w:rsidRPr="006E7B1C" w:rsidRDefault="006670D0" w:rsidP="00277BBE">
            <w:pPr>
              <w:spacing w:after="60" w:line="240" w:lineRule="auto"/>
              <w:rPr>
                <w:rFonts w:ascii="Arial" w:hAnsi="Arial" w:cs="Arial"/>
              </w:rPr>
            </w:pPr>
            <w:r>
              <w:br w:type="page"/>
            </w:r>
            <w:r w:rsidRPr="006E7B1C">
              <w:rPr>
                <w:rFonts w:ascii="Arial" w:eastAsia="Times New Roman" w:hAnsi="Arial" w:cs="Arial"/>
                <w:b/>
                <w:lang w:val="ru-RU"/>
              </w:rPr>
              <w:t xml:space="preserve">Стандард 15. Квалитет докторских </w:t>
            </w:r>
            <w:r w:rsidRPr="00625527">
              <w:rPr>
                <w:rFonts w:ascii="Arial" w:eastAsia="Times New Roman" w:hAnsi="Arial" w:cs="Arial"/>
                <w:b/>
                <w:lang w:val="ru-RU"/>
              </w:rPr>
              <w:t>студија</w:t>
            </w:r>
          </w:p>
          <w:p w14:paraId="04DF2B3B" w14:textId="77777777" w:rsidR="006670D0" w:rsidRPr="006E7B1C" w:rsidRDefault="006670D0" w:rsidP="0027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E7B1C">
              <w:rPr>
                <w:rFonts w:ascii="Arial" w:eastAsia="Times New Roman" w:hAnsi="Arial" w:cs="Arial"/>
                <w:lang w:val="ru-RU"/>
              </w:rPr>
              <w:t>Квалитет докторских студија се обезбеђује кроз унапређење научноистраживачког рада, осавремењавање садржаја студијских програма докторских студија и редовно праћење и проверу њихових циљева, постизање научних,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каријере.</w:t>
            </w:r>
          </w:p>
        </w:tc>
      </w:tr>
      <w:tr w:rsidR="006670D0" w:rsidRPr="00C70168" w14:paraId="3297BFA1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4FB01EBB" w14:textId="45744EC2" w:rsidR="006670D0" w:rsidRPr="007B4EC5" w:rsidRDefault="006670D0" w:rsidP="00277BB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</w:t>
            </w:r>
            <w:r w:rsidR="004B0041"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5</w:t>
            </w:r>
            <w:bookmarkStart w:id="0" w:name="_GoBack"/>
            <w:bookmarkEnd w:id="0"/>
          </w:p>
        </w:tc>
      </w:tr>
      <w:tr w:rsidR="006670D0" w:rsidRPr="00C70168" w14:paraId="211A8538" w14:textId="77777777" w:rsidTr="00277BBE">
        <w:tc>
          <w:tcPr>
            <w:tcW w:w="9606" w:type="dxa"/>
            <w:gridSpan w:val="2"/>
            <w:shd w:val="clear" w:color="auto" w:fill="auto"/>
          </w:tcPr>
          <w:p w14:paraId="029F64AD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</w:p>
          <w:p w14:paraId="37E5E484" w14:textId="0CC42CAC" w:rsidR="006670D0" w:rsidRPr="007011EA" w:rsidRDefault="009C7DC3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Департман за хемију 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Природно-математичк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ог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факултет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а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у Нишу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 xml:space="preserve"> самовреднује акредитоване студијске програме докторских студија Хемије</w:t>
            </w:r>
            <w:r w:rsidR="00353CCB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.</w:t>
            </w:r>
          </w:p>
          <w:p w14:paraId="03A6791E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Природно-математички факултет у Нишу проверава своју спремност за извођење докторских студија на основу следећих показатеља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:</w:t>
            </w:r>
          </w:p>
          <w:p w14:paraId="248136BD" w14:textId="77777777" w:rsidR="006670D0" w:rsidRDefault="006670D0" w:rsidP="006670D0">
            <w:pPr>
              <w:pStyle w:val="Default"/>
              <w:numPr>
                <w:ilvl w:val="0"/>
                <w:numId w:val="1"/>
              </w:numPr>
              <w:ind w:left="1014" w:hanging="283"/>
              <w:jc w:val="both"/>
              <w:rPr>
                <w:rFonts w:ascii="Arial" w:eastAsia="Times New Roman" w:hAnsi="Arial" w:cs="Arial"/>
                <w:sz w:val="22"/>
                <w:szCs w:val="22"/>
                <w:lang w:val="ru-RU"/>
              </w:rPr>
            </w:pPr>
            <w:r w:rsidRPr="00613D95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број докторских дисертација одбрањених на Факултету за области у којима изводи докторске студије је 54 за период 2015-2018,</w:t>
            </w:r>
          </w:p>
          <w:p w14:paraId="0C1DA50A" w14:textId="77777777" w:rsidR="006670D0" w:rsidRPr="00613D95" w:rsidRDefault="006670D0" w:rsidP="006670D0">
            <w:pPr>
              <w:pStyle w:val="Default"/>
              <w:numPr>
                <w:ilvl w:val="0"/>
                <w:numId w:val="1"/>
              </w:numPr>
              <w:ind w:left="1014" w:hanging="283"/>
              <w:jc w:val="both"/>
              <w:rPr>
                <w:rFonts w:ascii="Arial" w:eastAsia="Times New Roman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б</w:t>
            </w:r>
            <w:r w:rsidRPr="00613D95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роја одбрањених докторских дисертација према броју уписаних студената је 44% за 2014/15, 12% за 2015/16 и 62% за 2016/17</w:t>
            </w:r>
            <w:r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,</w:t>
            </w:r>
          </w:p>
          <w:p w14:paraId="685122D5" w14:textId="77777777" w:rsidR="006670D0" w:rsidRPr="001E6DA1" w:rsidRDefault="006670D0" w:rsidP="006670D0">
            <w:pPr>
              <w:pStyle w:val="Default"/>
              <w:numPr>
                <w:ilvl w:val="0"/>
                <w:numId w:val="1"/>
              </w:numPr>
              <w:ind w:left="1014" w:hanging="283"/>
              <w:jc w:val="both"/>
              <w:rPr>
                <w:rFonts w:ascii="Arial" w:eastAsia="Times New Roman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з</w:t>
            </w:r>
            <w:r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а период 2015-2018 број одбрањених докторских дисертација (54) према броју наставника – потенцијалних ментора (114) је 2.11.</w:t>
            </w:r>
          </w:p>
          <w:p w14:paraId="0BB23A0C" w14:textId="77777777" w:rsidR="006670D0" w:rsidRPr="001E6DA1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Посебно треба истаћи да је однос броја наставника и броја наставника који су укључени у научноистраживачке пројекте чак 76.36%.  </w:t>
            </w:r>
          </w:p>
          <w:p w14:paraId="4F698AB7" w14:textId="77777777" w:rsidR="006670D0" w:rsidRPr="001E6DA1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Такође важан показатељ квалитета докторских студија је податак који говори о квалитету научноистраживачког рада наставника ангажованих на докторским студијама, тј.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д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а је укупан број радова који их квалификују као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менотре 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(минимално 5 радова у десетеогодишњем периоду)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чак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1098, што значи да у просеку сваки наставник на листи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ментора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остварује 9.63 научна рада, што је скоро двоструко више од минималног критеријума.</w:t>
            </w:r>
          </w:p>
          <w:p w14:paraId="1EFB7CB4" w14:textId="77777777" w:rsidR="006670D0" w:rsidRPr="001E6DA1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Високошколска установа прати, анализира и унапређује постизање научних способности и академских и специфичних практичних вештина својих студената.</w:t>
            </w:r>
          </w:p>
          <w:p w14:paraId="30EBC049" w14:textId="77777777" w:rsidR="006670D0" w:rsidRPr="001E6DA1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Најбољи индикатор успешности и оспособљеност свршених студената докторских студија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су 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њихови научноистраживачки резултати: 54 свршен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а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студента докторских студија је у тренутку докторирања  публиковало 397 рада у научним часописима са рецензијом или их саопштило на научним конференцијама.</w:t>
            </w:r>
          </w:p>
          <w:p w14:paraId="5F3C8184" w14:textId="77777777" w:rsidR="006670D0" w:rsidRPr="001E6DA1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Природно-математички факултет у Нишу прати, анализира политику уписа студената на докторске студије ценећи друштвене потребе и потребе развоја науке, и образовања. Тако да је тражени број студената за 2018/19 износио 76 (40 буџетских и 36 самофинансирајућих студената). Такође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,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Факултет сагледава и своје материјалне и научноистраживаче ресурсе, и расположивост савремене истраживаке опреме и лабораторијског простора намењеног студентима докторских студија.</w:t>
            </w:r>
          </w:p>
          <w:p w14:paraId="2F418C5B" w14:textId="6930172B" w:rsidR="006670D0" w:rsidRPr="001E6DA1" w:rsidRDefault="006670D0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</w:t>
            </w:r>
            <w:r w:rsidR="00835ED9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Департман за хемију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располаже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савременом опремом за научно-истраживачки рад, при чему поседује 6 инструмената чија је вредност преко 100.000 евра: </w:t>
            </w:r>
            <w:r w:rsidRPr="00EF097B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НМР спектрометар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(</w:t>
            </w:r>
            <w:r w:rsidRPr="007C766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Брукер, Немачка/ Bruker Avance III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),</w:t>
            </w:r>
            <w:r w:rsidRPr="00EF097B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ЕПР (</w:t>
            </w:r>
            <w:r w:rsidRPr="005D2285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Bruker ЕMXmicro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), </w:t>
            </w:r>
            <w:r w:rsidRPr="00F04BFE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ICP-OES спектрофотометар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(</w:t>
            </w:r>
            <w:r w:rsidRPr="008A3F12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Thermo iCAP 6000 Series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), </w:t>
            </w:r>
            <w:r w:rsidRPr="0035397F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LTQ XL Orbitrap Thermo Fisher Scientific Inc.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, </w:t>
            </w:r>
            <w:r w:rsidRPr="0020109D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Гасни хроматограф са масеним детектором triple quadrupole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(</w:t>
            </w:r>
            <w:r w:rsidRPr="005E0CF9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Agilent Technologies GC QQQ system 7000 B series-G7011AA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). </w:t>
            </w:r>
            <w:r w:rsidR="00012AAD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Департман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поседује и </w:t>
            </w:r>
            <w:r w:rsidR="00012AAD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велики број</w:t>
            </w:r>
            <w:r w:rsidRPr="001E6DA1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 десктоп и лаптоп рачунара, који се користе у научно-истраживачком раду. Факултет користи око 20 мултимедијалних видеопројектора за држање часова, научних и стручних предавања.</w:t>
            </w:r>
          </w:p>
          <w:p w14:paraId="00B24C04" w14:textId="5BDFFC5D" w:rsidR="006670D0" w:rsidRPr="007011EA" w:rsidRDefault="00C13552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ru-RU"/>
              </w:rPr>
              <w:t xml:space="preserve">Департман за хемију 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Природно-математичк</w:t>
            </w:r>
            <w:r w:rsidR="00F7366E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ог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 xml:space="preserve"> факултет у Нишу 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Latn-RS"/>
              </w:rPr>
              <w:t xml:space="preserve">je 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разви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Latn-RS"/>
              </w:rPr>
              <w:t>o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 xml:space="preserve"> менторски систем као подршку студенту докторских студија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Latn-RS"/>
              </w:rPr>
              <w:t xml:space="preserve"> </w:t>
            </w:r>
            <w:r w:rsidR="006670D0" w:rsidRPr="007D1E3C">
              <w:rPr>
                <w:rFonts w:ascii="Arial" w:eastAsia="Times New Roman" w:hAnsi="Arial" w:cs="Arial"/>
                <w:sz w:val="22"/>
                <w:szCs w:val="22"/>
                <w:lang w:val="sr-Latn-RS"/>
              </w:rPr>
              <w:t xml:space="preserve">на тај начин да сваки уписани студент докторских студија од самог почетка студија може имати свог ментора који га води кроз студије, непрекидно 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прати и анализира напредовање студента узимајући у обзир напредак остварен у стицању знања и вештина, и напредак у истраживању.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Latn-RS"/>
              </w:rPr>
              <w:t xml:space="preserve"> 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 xml:space="preserve">Ментор студента који га води </w:t>
            </w:r>
            <w:r w:rsidR="006670D0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кроз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Latn-RS"/>
              </w:rPr>
              <w:t xml:space="preserve"> 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студије постаје ментор доктроске дисертације доношењем одлуке о усвајању теме и ментора док</w:t>
            </w:r>
            <w:r w:rsidR="006670D0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т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орске дисертације, односно након пријаве док</w:t>
            </w:r>
            <w:r w:rsidR="00A34D78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то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рске дис</w:t>
            </w:r>
            <w:r w:rsidR="006670D0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е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ртације од стране студента.</w:t>
            </w:r>
          </w:p>
          <w:p w14:paraId="531AD778" w14:textId="715CC352" w:rsidR="006670D0" w:rsidRPr="007011EA" w:rsidRDefault="00331233" w:rsidP="00277BBE">
            <w:pPr>
              <w:pStyle w:val="Default"/>
              <w:ind w:firstLine="720"/>
              <w:jc w:val="both"/>
              <w:rPr>
                <w:rFonts w:ascii="Arial" w:eastAsia="Times New Roman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ru-RU"/>
              </w:rPr>
              <w:lastRenderedPageBreak/>
              <w:t>Департман</w:t>
            </w:r>
            <w:r w:rsidR="006670D0"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 xml:space="preserve"> прати, критички оцењује и непрекидно подстиче научни напредак својих наставника, посебно ментора у настојању да унапређује однос броја потенцијалних ментора према броју студената докторских студија а у циљу стварања повољнијег истраживачког, окружења за своје студенте.</w:t>
            </w:r>
          </w:p>
          <w:p w14:paraId="47C90244" w14:textId="77777777" w:rsidR="006670D0" w:rsidRPr="007011EA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7011EA">
              <w:rPr>
                <w:rFonts w:ascii="Arial" w:eastAsia="Times New Roman" w:hAnsi="Arial" w:cs="Arial"/>
                <w:sz w:val="22"/>
                <w:szCs w:val="22"/>
                <w:lang w:val="ru-RU"/>
              </w:rPr>
              <w:t>Установа депонује докторске дисертације у јединствен репозиторијум који је трајно доступан јавности. Установа обезбеђује јавну доступност реферата о прихватању дисертације и објављених научноистраживачких резултата које је кандидат остварио.</w:t>
            </w:r>
          </w:p>
          <w:p w14:paraId="0568D0AF" w14:textId="77777777" w:rsidR="006670D0" w:rsidRPr="007011EA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6670D0" w:rsidRPr="00C70168" w14:paraId="63A16B29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11757F4D" w14:textId="77777777" w:rsidR="006670D0" w:rsidRPr="00C70168" w:rsidRDefault="006670D0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б) Процена испуњености стандарда 1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5 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>(SWOT анализа)</w:t>
            </w:r>
          </w:p>
        </w:tc>
      </w:tr>
      <w:tr w:rsidR="006670D0" w:rsidRPr="00C70168" w14:paraId="2842F550" w14:textId="77777777" w:rsidTr="00277BBE">
        <w:tc>
          <w:tcPr>
            <w:tcW w:w="9606" w:type="dxa"/>
            <w:gridSpan w:val="2"/>
            <w:shd w:val="clear" w:color="auto" w:fill="auto"/>
          </w:tcPr>
          <w:p w14:paraId="4298FAF5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E05489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685F">
              <w:rPr>
                <w:rFonts w:ascii="Arial" w:hAnsi="Arial" w:cs="Arial"/>
                <w:sz w:val="22"/>
                <w:szCs w:val="22"/>
              </w:rPr>
              <w:t>У оквиру стандарда 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је анализира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и квантитативно оцени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следеће елементе:</w:t>
            </w:r>
          </w:p>
          <w:p w14:paraId="1617C2D8" w14:textId="77777777" w:rsidR="006670D0" w:rsidRPr="0084685F" w:rsidRDefault="006670D0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9A9F5B" w14:textId="77777777" w:rsidR="006670D0" w:rsidRPr="0084685F" w:rsidRDefault="006670D0" w:rsidP="006670D0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72831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Високошколска установа самовреднује акредитоване студијске програме докторских студија </w:t>
            </w:r>
            <w:r w:rsidRPr="0084685F">
              <w:rPr>
                <w:rFonts w:ascii="Arial" w:hAnsi="Arial" w:cs="Arial"/>
                <w:b/>
                <w:sz w:val="22"/>
                <w:szCs w:val="22"/>
              </w:rPr>
              <w:t>+++</w:t>
            </w:r>
          </w:p>
          <w:p w14:paraId="4EE02A18" w14:textId="2A30BB86" w:rsidR="006670D0" w:rsidRPr="00FB1F20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Природно-математички факултет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5CBE">
              <w:rPr>
                <w:rFonts w:ascii="Arial" w:hAnsi="Arial" w:cs="Arial"/>
                <w:sz w:val="22"/>
                <w:szCs w:val="22"/>
                <w:lang w:val="sr-Cyrl-RS"/>
              </w:rPr>
              <w:t xml:space="preserve">(у оквиру кога је и Департман за хемију) 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Универзитета у Нишу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систематски рад на провери и унапређењу квалитета </w:t>
            </w:r>
            <w:r w:rsidRPr="00FB1F20">
              <w:rPr>
                <w:rFonts w:ascii="Arial" w:hAnsi="Arial" w:cs="Arial"/>
                <w:sz w:val="22"/>
                <w:szCs w:val="22"/>
              </w:rPr>
              <w:t>програм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FB1F20">
              <w:rPr>
                <w:rFonts w:ascii="Arial" w:hAnsi="Arial" w:cs="Arial"/>
                <w:sz w:val="22"/>
                <w:szCs w:val="22"/>
              </w:rPr>
              <w:t xml:space="preserve"> докторских студија</w:t>
            </w:r>
            <w:r w:rsidRPr="0084685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7C3BD4A6" w14:textId="77777777" w:rsidR="006670D0" w:rsidRPr="00BC5459" w:rsidRDefault="006670D0" w:rsidP="00152E7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E59CCE8" w14:textId="77777777" w:rsidR="006670D0" w:rsidRPr="0084685F" w:rsidRDefault="006670D0" w:rsidP="006670D0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5938BA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Високошколска установа проверава своју спремност за извођење докторских студија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 </w:t>
            </w:r>
          </w:p>
          <w:p w14:paraId="7616A9A2" w14:textId="77777777" w:rsidR="006670D0" w:rsidRPr="00FB7BA6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Природно-математички факултет</w:t>
            </w:r>
            <w:r w:rsidRPr="0084685F">
              <w:rPr>
                <w:rFonts w:ascii="Arial" w:hAnsi="Arial" w:cs="Arial"/>
                <w:sz w:val="22"/>
                <w:szCs w:val="22"/>
              </w:rPr>
              <w:t xml:space="preserve"> Универзитета у Нишу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поседује потребну научноистраживачку опрему, тј. 157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инструмената, апарата и мерних уређаја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потребан број наставника  за реализацију докторских студија.</w:t>
            </w:r>
          </w:p>
          <w:p w14:paraId="5E76A562" w14:textId="77777777" w:rsidR="006670D0" w:rsidRPr="00486414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08B3926C" w14:textId="77777777" w:rsidR="006670D0" w:rsidRPr="0084685F" w:rsidRDefault="006670D0" w:rsidP="006670D0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436E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Високошколска установа прати, анализира и унапређује постизање научних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  <w:r w:rsidRPr="001436E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способности и академских и специфичних практичних вештина својих студената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+++</w:t>
            </w:r>
          </w:p>
          <w:p w14:paraId="6C04E956" w14:textId="77777777" w:rsidR="006670D0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Кроз ангажовање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наставника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оквиру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међународних пројеката, посебно пројеката Ерасмус+ програма, наставници долазе до примера добре праксе, преносе искуства других институција и уводе преко одговарајућих комисија за обезбеђење квалитета нове аспекте обезбеђења квалитета.</w:t>
            </w:r>
          </w:p>
          <w:p w14:paraId="1378799D" w14:textId="77777777" w:rsidR="006670D0" w:rsidRPr="00486414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0FDE28C5" w14:textId="77777777" w:rsidR="006670D0" w:rsidRPr="0084685F" w:rsidRDefault="006670D0" w:rsidP="006670D0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F11C1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Високошколска установа прати, анализира и унапређује политику уписа студената на докторске студије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+++</w:t>
            </w:r>
          </w:p>
          <w:p w14:paraId="58CED1E6" w14:textId="77777777" w:rsidR="006670D0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истематско праћење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периодична провера квалитета и самовредновање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се реализује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следећим областима: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програм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процес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научно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-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истраживачк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стручн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рад,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наставни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ци и сарад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ни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ци,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студен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ти, </w:t>
            </w:r>
            <w:r w:rsidRPr="00214910">
              <w:rPr>
                <w:rFonts w:ascii="Arial" w:hAnsi="Arial" w:cs="Arial"/>
                <w:sz w:val="22"/>
                <w:szCs w:val="22"/>
                <w:lang w:val="sr-Cyrl-RS"/>
              </w:rPr>
              <w:t>уџбеници и литература, библиотека, информациони ресурси, простор и опрема, ненаставно особље, процес управљања, јавност у раду и финансирање.</w:t>
            </w:r>
          </w:p>
          <w:p w14:paraId="11575793" w14:textId="77777777" w:rsidR="006670D0" w:rsidRPr="00486414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  <w:p w14:paraId="5EC74EE8" w14:textId="77777777" w:rsidR="006670D0" w:rsidRPr="0084685F" w:rsidRDefault="006670D0" w:rsidP="006670D0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F11C1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Високошколска установа непрекидно прати и анализира напредовање студента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+++</w:t>
            </w:r>
          </w:p>
          <w:p w14:paraId="1F2B1671" w14:textId="77777777" w:rsidR="006670D0" w:rsidRPr="0084685F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езултати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унутрашње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провере квалитета су доступни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интернет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страници Факултета.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акон сваког извршеног вредновања резултати се прослеђују управи Факултета, катедрама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Студентском парламенту.</w:t>
            </w:r>
          </w:p>
          <w:p w14:paraId="53089FB4" w14:textId="77777777" w:rsidR="006670D0" w:rsidRDefault="006670D0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CE38E24" w14:textId="77777777" w:rsidR="006670D0" w:rsidRPr="0084685F" w:rsidRDefault="006670D0" w:rsidP="006670D0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CD0F5A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Високошколска установа прати, критички оцењује и непрекидно подстиче научни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  <w:r w:rsidRPr="00CD0F5A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напредак својих наставника, посебно ментора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+++</w:t>
            </w:r>
          </w:p>
          <w:p w14:paraId="10D0B513" w14:textId="77777777" w:rsidR="006670D0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езултати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унутрашње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провере квалитета су доступни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интернет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страници Факултета.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акон сваког извршеног вредновања резултати се прослеђују управи Факултета, катедрама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Студентском парламенту.</w:t>
            </w:r>
          </w:p>
          <w:p w14:paraId="31BF6402" w14:textId="77777777" w:rsidR="006670D0" w:rsidRPr="0084685F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66C6CDB" w14:textId="77777777" w:rsidR="006670D0" w:rsidRPr="0084685F" w:rsidRDefault="006670D0" w:rsidP="006670D0">
            <w:pPr>
              <w:pStyle w:val="Default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7817B2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Установа депонује докторске дисертације</w:t>
            </w:r>
            <w:r w:rsidRPr="00F11C1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  <w:r w:rsidRPr="0084685F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+++</w:t>
            </w:r>
          </w:p>
          <w:p w14:paraId="5898D603" w14:textId="77777777" w:rsidR="006670D0" w:rsidRPr="0084685F" w:rsidRDefault="006670D0" w:rsidP="00277BBE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Р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езултати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унутрашње 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провере квалитета су доступни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интернет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страници Факултета.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>акон сваког извршеног вредновања резултати се прослеђују управи Факултета, катедрама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наставницима</w:t>
            </w:r>
            <w:r w:rsidRPr="0084685F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Студентском парламенту.</w:t>
            </w:r>
          </w:p>
          <w:p w14:paraId="7A5723BA" w14:textId="77777777" w:rsidR="006670D0" w:rsidRDefault="006670D0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029353" w14:textId="77777777" w:rsidR="006670D0" w:rsidRPr="00C70168" w:rsidRDefault="006670D0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>Квантификација процене предности, слабости, могућности и опасности испитиваних елемената анализе је извршена на основу следећих показатеља:</w:t>
            </w:r>
          </w:p>
          <w:p w14:paraId="09DAC1A1" w14:textId="77777777" w:rsidR="006670D0" w:rsidRPr="00C70168" w:rsidRDefault="006670D0" w:rsidP="00277BB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>+++ - високо значајно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средње значајно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мало значајно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без </w:t>
            </w:r>
            <w:r>
              <w:rPr>
                <w:rFonts w:ascii="Arial" w:hAnsi="Arial" w:cs="Arial"/>
                <w:sz w:val="22"/>
                <w:szCs w:val="22"/>
              </w:rPr>
              <w:t>значаја</w:t>
            </w:r>
          </w:p>
        </w:tc>
      </w:tr>
      <w:tr w:rsidR="006670D0" w:rsidRPr="00C70168" w14:paraId="66463FF5" w14:textId="77777777" w:rsidTr="00277BBE">
        <w:tc>
          <w:tcPr>
            <w:tcW w:w="4803" w:type="dxa"/>
            <w:shd w:val="clear" w:color="auto" w:fill="E5B8B7"/>
          </w:tcPr>
          <w:p w14:paraId="2BC9BDE7" w14:textId="77777777" w:rsidR="006670D0" w:rsidRPr="00E32588" w:rsidRDefault="006670D0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3258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75871777" w14:textId="44EC2462" w:rsidR="006670D0" w:rsidRPr="00E32588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 поседује дугогодишње академско наслеђе (од 2008. године) у организовању и реализовању докторских студија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5A9C142F" w14:textId="77777777" w:rsidR="006670D0" w:rsidRPr="00E32588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Наставници вишеструко премашују минималне нивое кометентности за извођење наставе на доктроским студијама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30BF34E7" w14:textId="77777777" w:rsidR="006670D0" w:rsidRPr="00E32588" w:rsidRDefault="006670D0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 програми су усаглашени са савременим истраживањима и упоредиви са програмима инсотраних докторских студија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.........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..................................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++ </w:t>
            </w:r>
          </w:p>
          <w:p w14:paraId="325D55FD" w14:textId="77777777" w:rsidR="006670D0" w:rsidRPr="00E32588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 програми су усаглађени са потребама тржишта рада као и са научно актуелним проблемима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803" w:type="dxa"/>
            <w:shd w:val="clear" w:color="auto" w:fill="FBD4B4"/>
          </w:tcPr>
          <w:p w14:paraId="41B89D1B" w14:textId="77777777" w:rsidR="006670D0" w:rsidRPr="00E32588" w:rsidRDefault="006670D0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626FF89C" w14:textId="77777777" w:rsidR="006670D0" w:rsidRPr="00E32588" w:rsidRDefault="006670D0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</w:rPr>
              <w:t>Нередовне повратне информације о квалитету стечених компетенција дипломираних студената од стране послодаваца и других одговарајућих организација</w:t>
            </w:r>
            <w:r w:rsidRPr="00E3258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</w:t>
            </w:r>
          </w:p>
          <w:p w14:paraId="7CA176C6" w14:textId="77777777" w:rsidR="006670D0" w:rsidRPr="00E32588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Докторске академске студије по правилу трају дуже од прописаног времена</w:t>
            </w:r>
            <w:r w:rsidRPr="00E32588">
              <w:rPr>
                <w:rFonts w:ascii="Arial" w:hAnsi="Arial" w:cs="Arial"/>
                <w:sz w:val="22"/>
                <w:szCs w:val="22"/>
              </w:rPr>
              <w:t>.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59567EAB" w14:textId="77777777" w:rsidR="006670D0" w:rsidRPr="00AB4929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6670D0" w:rsidRPr="00C70168" w14:paraId="3AB9A059" w14:textId="77777777" w:rsidTr="00277BBE">
        <w:tc>
          <w:tcPr>
            <w:tcW w:w="4803" w:type="dxa"/>
            <w:shd w:val="clear" w:color="auto" w:fill="F2DBDB"/>
          </w:tcPr>
          <w:p w14:paraId="3010920A" w14:textId="77777777" w:rsidR="006670D0" w:rsidRPr="00E32588" w:rsidRDefault="006670D0" w:rsidP="00277BBE">
            <w:pPr>
              <w:pStyle w:val="Default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3258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</w:p>
          <w:p w14:paraId="06BF6307" w14:textId="77777777" w:rsidR="006670D0" w:rsidRPr="00E32588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32588">
              <w:rPr>
                <w:rFonts w:ascii="Arial" w:hAnsi="Arial" w:cs="Arial"/>
                <w:sz w:val="22"/>
                <w:szCs w:val="22"/>
              </w:rPr>
              <w:t>Учествовање на међународним пројектима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који се баве процесом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контроле и унапређења </w:t>
            </w:r>
            <w:r w:rsidRPr="00E32588">
              <w:rPr>
                <w:rFonts w:ascii="Arial" w:hAnsi="Arial" w:cs="Arial"/>
                <w:sz w:val="22"/>
                <w:szCs w:val="22"/>
              </w:rPr>
              <w:t xml:space="preserve">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студијских програма доктоских студија</w:t>
            </w:r>
            <w:r w:rsidRPr="00E3258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7746AB67" w14:textId="77777777" w:rsidR="006670D0" w:rsidRPr="00E32588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Дубље и чешће повезивање са нашим студентима докторских студија који реализују своју научнукаријеру на инсотраним институцијама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6D2A8088" w14:textId="77777777" w:rsidR="006670D0" w:rsidRPr="00E32588" w:rsidRDefault="006670D0" w:rsidP="00277BBE">
            <w:pPr>
              <w:pStyle w:val="Default"/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3258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</w:p>
          <w:p w14:paraId="1291D3D3" w14:textId="77777777" w:rsidR="006670D0" w:rsidRPr="00E32588" w:rsidRDefault="006670D0" w:rsidP="00277BBE">
            <w:pPr>
              <w:pStyle w:val="Default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Недостатак простора за адекватну инсталацију инструмената и апарата.............................</w:t>
            </w:r>
            <w:r w:rsidRPr="00E32588">
              <w:rPr>
                <w:rFonts w:ascii="Arial" w:hAnsi="Arial" w:cs="Arial"/>
                <w:sz w:val="22"/>
                <w:szCs w:val="22"/>
              </w:rPr>
              <w:t>+++</w:t>
            </w:r>
          </w:p>
          <w:p w14:paraId="7F780736" w14:textId="77777777" w:rsidR="006670D0" w:rsidRPr="00E32588" w:rsidRDefault="006670D0" w:rsidP="00277BBE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Недовољна финансијска средства за несметани рад и одржавање инструмената</w:t>
            </w:r>
            <w:r w:rsidRPr="00E32588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E32588">
              <w:rPr>
                <w:rFonts w:ascii="Arial" w:hAnsi="Arial" w:cs="Arial"/>
                <w:sz w:val="22"/>
                <w:szCs w:val="22"/>
              </w:rPr>
              <w:t>++</w:t>
            </w:r>
          </w:p>
        </w:tc>
      </w:tr>
      <w:tr w:rsidR="006670D0" w:rsidRPr="00C70168" w14:paraId="5C6A871B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7E494860" w14:textId="77777777" w:rsidR="006670D0" w:rsidRPr="00C70168" w:rsidRDefault="006670D0" w:rsidP="00277BB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 мера и активности за унапређење квалитета стандарда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6670D0" w:rsidRPr="00C70168" w14:paraId="10B83B3C" w14:textId="77777777" w:rsidTr="00277BBE">
        <w:tc>
          <w:tcPr>
            <w:tcW w:w="9606" w:type="dxa"/>
            <w:gridSpan w:val="2"/>
            <w:shd w:val="clear" w:color="auto" w:fill="auto"/>
          </w:tcPr>
          <w:p w14:paraId="7DCDF6F0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187571D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Перманентно анализирати и планирати потребна финансијска средства за одржавање инструмената и њихов несметани рад.</w:t>
            </w:r>
          </w:p>
          <w:p w14:paraId="2025CC2D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Спроводити активности на подизању одговорности студената и наставног особља приликом коришћења опреме за научноистраживачки рад.</w:t>
            </w:r>
          </w:p>
          <w:p w14:paraId="6516AF9D" w14:textId="77777777" w:rsidR="006670D0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Појачати техничко обезбеђење лабораторијског простора.</w:t>
            </w:r>
          </w:p>
          <w:p w14:paraId="325C0F00" w14:textId="77777777" w:rsidR="006670D0" w:rsidRPr="00C0379F" w:rsidRDefault="006670D0" w:rsidP="00277BBE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55352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670D0" w:rsidRPr="00C70168" w14:paraId="54096860" w14:textId="77777777" w:rsidTr="00277BBE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06C5242C" w14:textId="5D8D64C7" w:rsidR="006670D0" w:rsidRPr="00C70168" w:rsidRDefault="006670D0" w:rsidP="00277BBE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 и прилози за стандард 1</w:t>
            </w:r>
            <w:r w:rsidR="003546D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6670D0" w:rsidRPr="00C70168" w14:paraId="50016E1B" w14:textId="77777777" w:rsidTr="00277BBE">
        <w:tc>
          <w:tcPr>
            <w:tcW w:w="9606" w:type="dxa"/>
            <w:gridSpan w:val="2"/>
            <w:shd w:val="clear" w:color="auto" w:fill="auto"/>
          </w:tcPr>
          <w:p w14:paraId="07F61427" w14:textId="77777777" w:rsidR="006670D0" w:rsidRDefault="006670D0" w:rsidP="00277BBE">
            <w:pPr>
              <w:spacing w:after="0" w:line="240" w:lineRule="auto"/>
              <w:jc w:val="both"/>
            </w:pPr>
          </w:p>
          <w:p w14:paraId="066FD784" w14:textId="20993B3F" w:rsidR="006670D0" w:rsidRPr="00773292" w:rsidRDefault="00B328E7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7" w:history="1">
              <w:r w:rsidR="006670D0" w:rsidRPr="00773292">
                <w:rPr>
                  <w:rStyle w:val="Hyperlink"/>
                  <w:rFonts w:ascii="Arial" w:eastAsia="Times New Roman" w:hAnsi="Arial" w:cs="Arial"/>
                  <w:lang w:val="sr-Cyrl-CS"/>
                </w:rPr>
                <w:t>Табела 15.1. Списак свих акредитованих студијских програма докторских студија</w:t>
              </w:r>
            </w:hyperlink>
          </w:p>
          <w:p w14:paraId="0BAB910A" w14:textId="6BA970DD" w:rsidR="006670D0" w:rsidRPr="00773292" w:rsidRDefault="00B328E7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8" w:history="1">
              <w:r w:rsidR="006670D0" w:rsidRPr="00773292">
                <w:rPr>
                  <w:rStyle w:val="Hyperlink"/>
                  <w:rFonts w:ascii="Arial" w:eastAsia="Times New Roman" w:hAnsi="Arial" w:cs="Arial"/>
                  <w:lang w:val="sr-Cyrl-CS"/>
                </w:rPr>
                <w:t>Табела 15.2</w:t>
              </w:r>
              <w:r w:rsidR="006670D0" w:rsidRPr="00773292">
                <w:rPr>
                  <w:rStyle w:val="Hyperlink"/>
                  <w:rFonts w:ascii="Arial" w:eastAsia="Times New Roman" w:hAnsi="Arial" w:cs="Arial"/>
                </w:rPr>
                <w:t>.</w:t>
              </w:r>
              <w:r w:rsidR="006670D0" w:rsidRPr="00773292">
                <w:rPr>
                  <w:rStyle w:val="Hyperlink"/>
                  <w:rFonts w:ascii="Arial" w:eastAsia="Times New Roman" w:hAnsi="Arial" w:cs="Arial"/>
                  <w:lang w:val="sr-Cyrl-CS"/>
                </w:rPr>
                <w:t xml:space="preserve"> Списак организационих јединица, које се баве уједначавањем квалитета свих докторских студија на високошколској установи</w:t>
              </w:r>
            </w:hyperlink>
            <w:r w:rsidR="006670D0" w:rsidRPr="00773292">
              <w:rPr>
                <w:rFonts w:ascii="Arial" w:eastAsia="Times New Roman" w:hAnsi="Arial" w:cs="Arial"/>
                <w:lang w:val="sr-Cyrl-CS"/>
              </w:rPr>
              <w:t xml:space="preserve"> </w:t>
            </w:r>
          </w:p>
          <w:p w14:paraId="4FE7D4F2" w14:textId="4305D824" w:rsidR="006670D0" w:rsidRPr="00773292" w:rsidRDefault="00B328E7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9" w:history="1"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Табела  15.3</w:t>
              </w:r>
              <w:r w:rsidR="006670D0" w:rsidRPr="007011EA">
                <w:rPr>
                  <w:rStyle w:val="Hyperlink"/>
                  <w:rFonts w:ascii="Arial" w:eastAsia="Times New Roman" w:hAnsi="Arial" w:cs="Arial"/>
                </w:rPr>
                <w:t>.</w:t>
              </w:r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 xml:space="preserve"> Списак чланова организационих јединица за квалитет докторских студија високошколске установе</w:t>
              </w:r>
            </w:hyperlink>
          </w:p>
          <w:p w14:paraId="0BE1171E" w14:textId="49F364A7" w:rsidR="006670D0" w:rsidRPr="00773292" w:rsidRDefault="00B328E7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10" w:history="1"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Прилог 15.1 Пра</w:t>
              </w:r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в</w:t>
              </w:r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илник докторских студија</w:t>
              </w:r>
            </w:hyperlink>
          </w:p>
          <w:p w14:paraId="55408D26" w14:textId="3802A60B" w:rsidR="006670D0" w:rsidRPr="00773292" w:rsidRDefault="00B328E7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11" w:history="1"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Прилог 15.2 Извод из Статута који регулише докторске студије</w:t>
              </w:r>
            </w:hyperlink>
          </w:p>
          <w:p w14:paraId="2873CDF0" w14:textId="1C77D645" w:rsidR="006670D0" w:rsidRPr="00773292" w:rsidRDefault="00B328E7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12" w:history="1"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Прилог 15.3 Правилник о раду докторске школе</w:t>
              </w:r>
            </w:hyperlink>
          </w:p>
          <w:p w14:paraId="7DB02F93" w14:textId="3DD6A147" w:rsidR="006670D0" w:rsidRPr="00773292" w:rsidRDefault="00B328E7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13" w:history="1"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Прилог 15.4 Правилник о избору ментора</w:t>
              </w:r>
            </w:hyperlink>
          </w:p>
          <w:p w14:paraId="6B1E0DDD" w14:textId="68202E4B" w:rsidR="006670D0" w:rsidRDefault="00B328E7" w:rsidP="00277B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sr-Cyrl-CS"/>
              </w:rPr>
            </w:pPr>
            <w:hyperlink r:id="rId14" w:history="1">
              <w:r w:rsidR="006670D0" w:rsidRPr="007011EA">
                <w:rPr>
                  <w:rStyle w:val="Hyperlink"/>
                  <w:rFonts w:ascii="Arial" w:eastAsia="Times New Roman" w:hAnsi="Arial" w:cs="Arial"/>
                  <w:lang w:val="sr-Cyrl-CS"/>
                </w:rPr>
                <w:t>Прилог 15.5 Поступак израде и одбране докторске дисертације односно  докторског пројекта</w:t>
              </w:r>
              <w:r w:rsidR="006670D0" w:rsidRPr="007011EA">
                <w:rPr>
                  <w:rStyle w:val="Hyperlink"/>
                  <w:rFonts w:ascii="Arial" w:eastAsia="Times New Roman" w:hAnsi="Arial" w:cs="Arial"/>
                  <w:bCs/>
                  <w:lang w:val="sr-Cyrl-CS"/>
                </w:rPr>
                <w:t xml:space="preserve"> </w:t>
              </w:r>
            </w:hyperlink>
            <w:r w:rsidR="006670D0" w:rsidRPr="00DD485F">
              <w:rPr>
                <w:rFonts w:ascii="Arial" w:eastAsia="Times New Roman" w:hAnsi="Arial" w:cs="Arial"/>
                <w:b/>
                <w:bCs/>
                <w:lang w:val="sr-Cyrl-CS"/>
              </w:rPr>
              <w:t xml:space="preserve"> </w:t>
            </w:r>
          </w:p>
          <w:p w14:paraId="7B06D40A" w14:textId="77777777" w:rsidR="006670D0" w:rsidRPr="00DD485F" w:rsidRDefault="006670D0" w:rsidP="00277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61E9DFFE" w14:textId="77777777" w:rsidR="006670D0" w:rsidRPr="00431674" w:rsidRDefault="006670D0" w:rsidP="006670D0"/>
    <w:p w14:paraId="3A7E4280" w14:textId="77777777" w:rsidR="00C230BE" w:rsidRDefault="00C230BE"/>
    <w:sectPr w:rsidR="00C230BE" w:rsidSect="00653EBE">
      <w:headerReference w:type="default" r:id="rId15"/>
      <w:footerReference w:type="default" r:id="rId16"/>
      <w:pgSz w:w="11907" w:h="16840" w:code="9"/>
      <w:pgMar w:top="1531" w:right="1247" w:bottom="1247" w:left="1247" w:header="45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9FD0A" w14:textId="77777777" w:rsidR="00B328E7" w:rsidRDefault="00B328E7">
      <w:pPr>
        <w:spacing w:after="0" w:line="240" w:lineRule="auto"/>
      </w:pPr>
      <w:r>
        <w:separator/>
      </w:r>
    </w:p>
  </w:endnote>
  <w:endnote w:type="continuationSeparator" w:id="0">
    <w:p w14:paraId="7EC01906" w14:textId="77777777" w:rsidR="00B328E7" w:rsidRDefault="00B3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BBA4B" w14:textId="77777777" w:rsidR="009A415E" w:rsidRDefault="00855CB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29</w:t>
    </w:r>
    <w:r>
      <w:rPr>
        <w:noProof/>
      </w:rPr>
      <w:fldChar w:fldCharType="end"/>
    </w:r>
  </w:p>
  <w:p w14:paraId="3716B513" w14:textId="77777777" w:rsidR="009A415E" w:rsidRDefault="00B328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B5189" w14:textId="77777777" w:rsidR="00B328E7" w:rsidRDefault="00B328E7">
      <w:pPr>
        <w:spacing w:after="0" w:line="240" w:lineRule="auto"/>
      </w:pPr>
      <w:r>
        <w:separator/>
      </w:r>
    </w:p>
  </w:footnote>
  <w:footnote w:type="continuationSeparator" w:id="0">
    <w:p w14:paraId="4A9C3A2D" w14:textId="77777777" w:rsidR="00B328E7" w:rsidRDefault="00B32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C9E99" w14:textId="77777777" w:rsidR="009A415E" w:rsidRDefault="00855CBE" w:rsidP="0046361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2E0BBA7" wp14:editId="128BD98D">
              <wp:simplePos x="0" y="0"/>
              <wp:positionH relativeFrom="column">
                <wp:posOffset>93980</wp:posOffset>
              </wp:positionH>
              <wp:positionV relativeFrom="paragraph">
                <wp:posOffset>256540</wp:posOffset>
              </wp:positionV>
              <wp:extent cx="1066800" cy="390525"/>
              <wp:effectExtent l="0" t="0" r="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8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42F979" w14:textId="77777777" w:rsidR="009A415E" w:rsidRPr="0046361D" w:rsidRDefault="00855CBE" w:rsidP="0046361D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6361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УНИВЕРЗИТЕТ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6361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У НИШУ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0BBA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.4pt;margin-top:20.2pt;width:84pt;height:3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" stroked="f">
              <v:textbox>
                <w:txbxContent>
                  <w:p w14:paraId="6442F979" w14:textId="77777777" w:rsidR="009A415E" w:rsidRPr="0046361D" w:rsidRDefault="00855CBE" w:rsidP="0046361D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6361D">
                      <w:rPr>
                        <w:rFonts w:ascii="Arial" w:hAnsi="Arial" w:cs="Arial"/>
                        <w:sz w:val="16"/>
                        <w:szCs w:val="16"/>
                      </w:rPr>
                      <w:t>УНИВЕРЗИТЕТ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Pr="0046361D">
                      <w:rPr>
                        <w:rFonts w:ascii="Arial" w:hAnsi="Arial" w:cs="Arial"/>
                        <w:sz w:val="16"/>
                        <w:szCs w:val="16"/>
                      </w:rPr>
                      <w:t>У НИШУ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25AE92" wp14:editId="32A6E14B">
              <wp:simplePos x="0" y="0"/>
              <wp:positionH relativeFrom="column">
                <wp:posOffset>4104005</wp:posOffset>
              </wp:positionH>
              <wp:positionV relativeFrom="paragraph">
                <wp:posOffset>245110</wp:posOffset>
              </wp:positionV>
              <wp:extent cx="1610995" cy="390525"/>
              <wp:effectExtent l="0" t="0" r="825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0995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74619B" w14:textId="77777777" w:rsidR="009A415E" w:rsidRPr="009276B3" w:rsidRDefault="00855CBE" w:rsidP="0084356F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  <w:lang w:val="sr-Cyrl-R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sr-Cyrl-RS"/>
                            </w:rPr>
                            <w:t>ПРИРОДНО -МАТЕМАТИЧКИ ФАКУЛТЕТ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25AE92" id="Text Box 2" o:spid="_x0000_s1027" type="#_x0000_t202" style="position:absolute;margin-left:323.15pt;margin-top:19.3pt;width:126.8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" stroked="f">
              <v:textbox>
                <w:txbxContent>
                  <w:p w14:paraId="0474619B" w14:textId="77777777" w:rsidR="009A415E" w:rsidRPr="009276B3" w:rsidRDefault="00855CBE" w:rsidP="0084356F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  <w:lang w:val="sr-Cyrl-R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sr-Cyrl-RS"/>
                      </w:rPr>
                      <w:t>ПРИРОДНО -МАТЕМАТИЧКИ ФАКУЛТЕТ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1DD44F" wp14:editId="5E66C146">
              <wp:simplePos x="0" y="0"/>
              <wp:positionH relativeFrom="column">
                <wp:posOffset>1627505</wp:posOffset>
              </wp:positionH>
              <wp:positionV relativeFrom="paragraph">
                <wp:posOffset>140335</wp:posOffset>
              </wp:positionV>
              <wp:extent cx="2409825" cy="438150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9825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F1E01" w14:textId="77777777" w:rsidR="009A415E" w:rsidRPr="0084356F" w:rsidRDefault="00855CBE" w:rsidP="00C5713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sr-Cyrl-RS"/>
                            </w:rPr>
                          </w:pPr>
                          <w:r w:rsidRPr="0084356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ИЗВЕШТАЈ О САМОВРЕДНОВАЊУ </w:t>
                          </w:r>
                          <w:r w:rsidRPr="0084356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sr-Cyrl-RS"/>
                            </w:rPr>
                            <w:t>(201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sr-Latn-RS"/>
                            </w:rPr>
                            <w:t>5</w:t>
                          </w:r>
                          <w:r w:rsidRPr="0084356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sr-Cyrl-RS"/>
                            </w:rPr>
                            <w:t>-</w:t>
                          </w:r>
                          <w:r w:rsidRPr="0084356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sr-Latn-RS"/>
                            </w:rPr>
                            <w:t>8</w:t>
                          </w:r>
                          <w:r w:rsidRPr="0084356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sr-Cyrl-RS"/>
                            </w:rPr>
                            <w:t>)</w:t>
                          </w:r>
                        </w:p>
                        <w:p w14:paraId="629EB858" w14:textId="77777777" w:rsidR="009A415E" w:rsidRDefault="00B328E7" w:rsidP="00C5713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r-Cyrl-RS"/>
                            </w:rPr>
                          </w:pPr>
                        </w:p>
                        <w:p w14:paraId="7E12F9B5" w14:textId="77777777" w:rsidR="009A415E" w:rsidRPr="007F2F86" w:rsidRDefault="00B328E7" w:rsidP="00C5713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r-Cyrl-R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1DD44F" id="Text Box 3" o:spid="_x0000_s1028" type="#_x0000_t202" style="position:absolute;margin-left:128.15pt;margin-top:11.05pt;width:189.7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" stroked="f" strokecolor="#7f7f7f">
              <v:textbox>
                <w:txbxContent>
                  <w:p w14:paraId="182F1E01" w14:textId="77777777" w:rsidR="009A415E" w:rsidRPr="0084356F" w:rsidRDefault="00855CBE" w:rsidP="00C5713F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sr-Cyrl-RS"/>
                      </w:rPr>
                    </w:pPr>
                    <w:r w:rsidRPr="0084356F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ИЗВЕШТАЈ О САМОВРЕДНОВАЊУ </w:t>
                    </w:r>
                    <w:r w:rsidRPr="0084356F">
                      <w:rPr>
                        <w:rFonts w:ascii="Arial" w:hAnsi="Arial" w:cs="Arial"/>
                        <w:b/>
                        <w:sz w:val="20"/>
                        <w:szCs w:val="20"/>
                        <w:lang w:val="sr-Cyrl-RS"/>
                      </w:rPr>
                      <w:t>(201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sr-Latn-RS"/>
                      </w:rPr>
                      <w:t>5</w:t>
                    </w:r>
                    <w:r w:rsidRPr="0084356F">
                      <w:rPr>
                        <w:rFonts w:ascii="Arial" w:hAnsi="Arial" w:cs="Arial"/>
                        <w:b/>
                        <w:sz w:val="20"/>
                        <w:szCs w:val="20"/>
                        <w:lang w:val="sr-Cyrl-RS"/>
                      </w:rPr>
                      <w:t>-</w:t>
                    </w:r>
                    <w:r w:rsidRPr="0084356F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sr-Latn-RS"/>
                      </w:rPr>
                      <w:t>8</w:t>
                    </w:r>
                    <w:r w:rsidRPr="0084356F">
                      <w:rPr>
                        <w:rFonts w:ascii="Arial" w:hAnsi="Arial" w:cs="Arial"/>
                        <w:b/>
                        <w:sz w:val="20"/>
                        <w:szCs w:val="20"/>
                        <w:lang w:val="sr-Cyrl-RS"/>
                      </w:rPr>
                      <w:t>)</w:t>
                    </w:r>
                  </w:p>
                  <w:p w14:paraId="629EB858" w14:textId="77777777" w:rsidR="009A415E" w:rsidRDefault="00855CBE" w:rsidP="00C5713F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  <w:lang w:val="sr-Cyrl-RS"/>
                      </w:rPr>
                    </w:pPr>
                  </w:p>
                  <w:p w14:paraId="7E12F9B5" w14:textId="77777777" w:rsidR="009A415E" w:rsidRPr="007F2F86" w:rsidRDefault="00855CBE" w:rsidP="00C5713F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  <w:lang w:val="sr-Cyrl-R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27118DD2" wp14:editId="677A80A3">
          <wp:simplePos x="0" y="0"/>
          <wp:positionH relativeFrom="column">
            <wp:posOffset>5614035</wp:posOffset>
          </wp:positionH>
          <wp:positionV relativeFrom="paragraph">
            <wp:posOffset>-157480</wp:posOffset>
          </wp:positionV>
          <wp:extent cx="593090" cy="802005"/>
          <wp:effectExtent l="0" t="0" r="0" b="0"/>
          <wp:wrapSquare wrapText="bothSides"/>
          <wp:docPr id="9" name="Picture 4" descr="PMF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MF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1A5D4C4" wp14:editId="31E03E18">
          <wp:simplePos x="0" y="0"/>
          <wp:positionH relativeFrom="column">
            <wp:posOffset>-459105</wp:posOffset>
          </wp:positionH>
          <wp:positionV relativeFrom="paragraph">
            <wp:posOffset>-2540</wp:posOffset>
          </wp:positionV>
          <wp:extent cx="575945" cy="577850"/>
          <wp:effectExtent l="0" t="0" r="0" b="0"/>
          <wp:wrapSquare wrapText="bothSides"/>
          <wp:docPr id="10" name="Picture 1" descr="logo_univerzitet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niverzitet copy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0D0"/>
    <w:rsid w:val="00012AAD"/>
    <w:rsid w:val="00152E73"/>
    <w:rsid w:val="00331233"/>
    <w:rsid w:val="00353CCB"/>
    <w:rsid w:val="003546DA"/>
    <w:rsid w:val="00384FDC"/>
    <w:rsid w:val="003C2BE2"/>
    <w:rsid w:val="004B0041"/>
    <w:rsid w:val="004F1AC3"/>
    <w:rsid w:val="00625527"/>
    <w:rsid w:val="006670D0"/>
    <w:rsid w:val="00835ED9"/>
    <w:rsid w:val="00855CBE"/>
    <w:rsid w:val="009C7DC3"/>
    <w:rsid w:val="00A34060"/>
    <w:rsid w:val="00A34D78"/>
    <w:rsid w:val="00B328E7"/>
    <w:rsid w:val="00C13552"/>
    <w:rsid w:val="00C230BE"/>
    <w:rsid w:val="00E4246E"/>
    <w:rsid w:val="00E47BDF"/>
    <w:rsid w:val="00F7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3D1D"/>
  <w15:chartTrackingRefBased/>
  <w15:docId w15:val="{53AAD859-7C00-4BFE-BC19-C5DE13D1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0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0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0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670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6670D0"/>
    <w:rPr>
      <w:rFonts w:ascii="Calibri" w:eastAsia="Calibri" w:hAnsi="Calibri" w:cs="Times New Roman"/>
    </w:rPr>
  </w:style>
  <w:style w:type="paragraph" w:customStyle="1" w:styleId="Default">
    <w:name w:val="Default"/>
    <w:rsid w:val="006670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670D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4F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_15_2.%20Ujednacavanje%20kvaliteta%20DAS.docx" TargetMode="External"/><Relationship Id="rId13" Type="http://schemas.openxmlformats.org/officeDocument/2006/relationships/hyperlink" Target="Prilog_15_4_Pravilnik%20o%20izboru%20mentora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Tabela_15_1_Akreditovani%20studijski%20programi%20DAS.docx" TargetMode="External"/><Relationship Id="rId12" Type="http://schemas.openxmlformats.org/officeDocument/2006/relationships/hyperlink" Target="Prilog_15_3_Pravilnik%20o%20radu%20doktorske%20skole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Prilog_15_2_Izvod%20iz%20Statuta%20DAS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Prilog_15_1_Pravilnik%20DA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abela_15_3_Clanovi%20komisija%20DAS.docx" TargetMode="External"/><Relationship Id="rId14" Type="http://schemas.openxmlformats.org/officeDocument/2006/relationships/hyperlink" Target="Prilog_15_5_Postupak%20izrade%20i%20odbrane%20PhD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Palic</dc:creator>
  <cp:keywords/>
  <dc:description/>
  <cp:lastModifiedBy>abc</cp:lastModifiedBy>
  <cp:revision>19</cp:revision>
  <dcterms:created xsi:type="dcterms:W3CDTF">2019-12-04T09:05:00Z</dcterms:created>
  <dcterms:modified xsi:type="dcterms:W3CDTF">2019-12-11T10:12:00Z</dcterms:modified>
</cp:coreProperties>
</file>