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3FB64" w14:textId="77777777" w:rsidR="00365012" w:rsidRPr="00A40200" w:rsidRDefault="00365012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</w:p>
    <w:p w14:paraId="75CFFE45" w14:textId="77777777" w:rsidR="009552EE" w:rsidRPr="009351CA" w:rsidRDefault="009351CA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На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основу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стандардима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за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самовредновање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и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оцењивање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високошколских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установа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(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Службени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гласник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РС,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број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106/06)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складу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Стратегијом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обезбеђења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Природн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о-математичког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факултета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у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Нишу</w:t>
      </w:r>
      <w:proofErr w:type="spellEnd"/>
      <w:r w:rsidR="0033152C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спровођењ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Комисија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обезбеђење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квалитета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Факултета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подноси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следећи</w:t>
      </w:r>
      <w:proofErr w:type="spellEnd"/>
    </w:p>
    <w:p w14:paraId="475AA031" w14:textId="77777777" w:rsidR="009351CA" w:rsidRDefault="009351CA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7AC04CD7" w14:textId="77777777" w:rsidR="00365012" w:rsidRDefault="00365012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3E50DA87" w14:textId="547DDF29" w:rsidR="00A478BB" w:rsidRDefault="00A478BB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 w:rsidRPr="00BC5820"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  <w:t>И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звештај</w:t>
      </w:r>
      <w:proofErr w:type="spellEnd"/>
      <w:r w:rsidR="00A93258">
        <w:rPr>
          <w:rFonts w:ascii="Times New Roman" w:hAnsi="Times New Roman"/>
          <w:b/>
          <w:color w:val="1F4E79"/>
          <w:sz w:val="32"/>
          <w:szCs w:val="32"/>
        </w:rPr>
        <w:t xml:space="preserve"> 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 xml:space="preserve">о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рез</w:t>
      </w:r>
      <w:r w:rsidRPr="00BC5820">
        <w:rPr>
          <w:rFonts w:ascii="Times New Roman" w:hAnsi="Times New Roman"/>
          <w:b/>
          <w:color w:val="1F4E79"/>
          <w:spacing w:val="2"/>
          <w:sz w:val="32"/>
          <w:szCs w:val="32"/>
        </w:rPr>
        <w:t>у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лтатима</w:t>
      </w:r>
      <w:proofErr w:type="spellEnd"/>
      <w:r w:rsidRPr="00BC5820">
        <w:rPr>
          <w:rFonts w:ascii="Times New Roman" w:hAnsi="Times New Roman"/>
          <w:b/>
          <w:color w:val="1F4E79"/>
          <w:spacing w:val="-11"/>
          <w:sz w:val="32"/>
          <w:szCs w:val="32"/>
        </w:rPr>
        <w:t xml:space="preserve">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анкетирања</w:t>
      </w:r>
      <w:proofErr w:type="spellEnd"/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студената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, наставника и сарадника </w:t>
      </w:r>
      <w:r w:rsidR="00EA5D07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студијског програма Хемија на докторским академским студијама (ДАС) на Департману за хемију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Природно-математичког факултета</w:t>
      </w:r>
      <w:r w:rsidR="001E2C0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у Нишу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br/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з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а </w:t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период</w:t>
      </w:r>
      <w:r w:rsidR="000C0C06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0C0C06"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зимски</w:t>
      </w:r>
      <w:r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 xml:space="preserve"> 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семестар 201</w:t>
      </w:r>
      <w:r w:rsidR="00160D3F">
        <w:rPr>
          <w:rFonts w:ascii="Times New Roman" w:hAnsi="Times New Roman"/>
          <w:b/>
          <w:color w:val="1F4E79"/>
          <w:sz w:val="32"/>
          <w:szCs w:val="32"/>
          <w:u w:val="single"/>
        </w:rPr>
        <w:t>7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/1</w:t>
      </w:r>
      <w:r w:rsidR="00160D3F">
        <w:rPr>
          <w:rFonts w:ascii="Times New Roman" w:hAnsi="Times New Roman"/>
          <w:b/>
          <w:color w:val="1F4E79"/>
          <w:sz w:val="32"/>
          <w:szCs w:val="32"/>
          <w:u w:val="single"/>
        </w:rPr>
        <w:t>8</w:t>
      </w: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</w:p>
    <w:p w14:paraId="3EDC41CA" w14:textId="77777777" w:rsidR="00A93258" w:rsidRDefault="00A93258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6FC02B4F" w14:textId="77777777" w:rsidR="00EA5D07" w:rsidRPr="00EB235B" w:rsidRDefault="00EA5D07" w:rsidP="00EA5D07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наставника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обављено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периоду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: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08. МАРТА 2018. до 10. АПРИЛА 2018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Анкетом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вредно</w:t>
      </w:r>
      <w:r>
        <w:rPr>
          <w:rFonts w:ascii="Times New Roman" w:hAnsi="Times New Roman"/>
          <w:bCs/>
          <w:color w:val="1F4E79"/>
          <w:spacing w:val="4"/>
          <w:szCs w:val="24"/>
        </w:rPr>
        <w:t>вана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реализација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наставе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током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зимског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семестра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8.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као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процес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оцењивања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току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јануарско-фебруарског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испитног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рока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односно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обухваћен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период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рада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1.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октобра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</w:rPr>
        <w:t>20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фебруара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Систем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био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доступан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A93258">
        <w:rPr>
          <w:rFonts w:ascii="Times New Roman" w:hAnsi="Times New Roman"/>
          <w:bCs/>
          <w:i/>
          <w:color w:val="1F4E79"/>
          <w:spacing w:val="4"/>
          <w:szCs w:val="24"/>
        </w:rPr>
        <w:t>online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преко апликације студентског портала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</w:p>
    <w:p w14:paraId="0F3B2F36" w14:textId="77777777" w:rsidR="00F03175" w:rsidRDefault="00F03175" w:rsidP="00EA5D07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3A4A7A3F" w14:textId="5E94D84F" w:rsidR="00EA5D07" w:rsidRPr="00365012" w:rsidRDefault="00EA5D07" w:rsidP="00EA5D07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bookmarkStart w:id="0" w:name="_GoBack"/>
      <w:bookmarkEnd w:id="0"/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Просечна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излазност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ДАС на нивоу Департмана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износи 2,1% (само један студент је попунио анкетни упитник од укупно 46 студената који су могли да учествују у анкетирању). Имајући у виду да је просечна излазност мања од 30%, може се сматрати да </w:t>
      </w:r>
      <w:r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анкета </w:t>
      </w:r>
      <w:r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није </w:t>
      </w:r>
      <w:r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репрезентативна на нивоу </w:t>
      </w:r>
      <w:r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Департман</w:t>
      </w:r>
      <w:r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 и да се</w:t>
      </w:r>
      <w:r w:rsidRPr="00EA5D0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 </w:t>
      </w:r>
      <w:r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може користити само за оквирну оцену квалитета рада Департмана за хемију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. </w:t>
      </w:r>
      <w:r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 </w:t>
      </w:r>
    </w:p>
    <w:p w14:paraId="4D35E61D" w14:textId="77777777" w:rsidR="00365012" w:rsidRDefault="00365012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2155E734" w14:textId="5FF12E0E" w:rsidR="00EA5D07" w:rsidRDefault="00EA5D07" w:rsidP="00EA5D07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Како је излазност</w:t>
      </w:r>
      <w:r w:rsidR="00E64EDA"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студената 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ДАС </w:t>
      </w:r>
      <w:r w:rsidR="00E64EDA"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на анкету</w:t>
      </w:r>
      <w:r w:rsidR="00E64EDA" w:rsidRPr="00DE6D82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="00BD4472"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Департман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а</w:t>
      </w:r>
      <w:r w:rsidR="00BD4472"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за хемију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веома мала</w:t>
      </w:r>
      <w:r w:rsidR="00E64EDA"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тј. Излазност је иста као у летњем семестру 2016/17.</w:t>
      </w:r>
      <w:r w:rsidRPr="00EA5D07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  <w:r w:rsidRPr="00B83AC6">
        <w:rPr>
          <w:rFonts w:ascii="Times New Roman" w:hAnsi="Times New Roman" w:cs="Times New Roman"/>
          <w:bCs/>
          <w:spacing w:val="4"/>
          <w:szCs w:val="24"/>
          <w:lang w:val="sr-Cyrl-RS"/>
        </w:rPr>
        <w:t>Поред редовних активности студената, које свакако нису мале, морамо их у наредним годинама додатно мотивисати да у већој мери дају своје реално мишљење о настави и раду на Департману за хемију, што је од суштинског значаја за побољшање квалитета наставе.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</w:p>
    <w:p w14:paraId="77938C5B" w14:textId="77777777" w:rsidR="00EA5D07" w:rsidRDefault="00EA5D07" w:rsidP="00EA5D07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1FE09164" w14:textId="4A87A6C0" w:rsidR="00EA5D07" w:rsidRPr="00F03175" w:rsidRDefault="00EA5D07" w:rsidP="00EA5D07">
      <w:pPr>
        <w:ind w:firstLine="0"/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</w:pP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Укупн</w:t>
      </w:r>
      <w:r>
        <w:rPr>
          <w:rFonts w:ascii="Times New Roman" w:hAnsi="Times New Roman"/>
          <w:bCs/>
          <w:color w:val="1F4E79"/>
          <w:spacing w:val="4"/>
          <w:szCs w:val="24"/>
        </w:rPr>
        <w:t>e</w:t>
      </w: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просечн</w:t>
      </w:r>
      <w:r>
        <w:rPr>
          <w:rFonts w:ascii="Times New Roman" w:hAnsi="Times New Roman"/>
          <w:bCs/>
          <w:color w:val="1F4E79"/>
          <w:spacing w:val="4"/>
          <w:szCs w:val="24"/>
        </w:rPr>
        <w:t>e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оцен</w:t>
      </w:r>
      <w:r>
        <w:rPr>
          <w:rFonts w:ascii="Times New Roman" w:hAnsi="Times New Roman"/>
          <w:bCs/>
          <w:color w:val="1F4E79"/>
          <w:spacing w:val="4"/>
          <w:szCs w:val="24"/>
        </w:rPr>
        <w:t>e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наставника и сарадника на Департману за хемију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,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врсти студија и студијског програма дате су у табели 1.</w:t>
      </w:r>
    </w:p>
    <w:p w14:paraId="05365E75" w14:textId="2AEB8B87" w:rsidR="00EA5D07" w:rsidRDefault="00EA5D07" w:rsidP="00EA5D07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Ниједан сарадник на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Департману за хемију 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нема просечну оцену мању од 3</w:t>
      </w:r>
      <w:r w:rsidR="00F03175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00. </w:t>
      </w:r>
    </w:p>
    <w:p w14:paraId="11D259AA" w14:textId="2CA8D78D" w:rsidR="00EA5D07" w:rsidRPr="004279DF" w:rsidRDefault="00EA5D07" w:rsidP="00EA5D07">
      <w:pPr>
        <w:ind w:firstLine="0"/>
        <w:rPr>
          <w:lang w:val="sr-Cyrl-RS"/>
        </w:rPr>
      </w:pP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Декан, у складу са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равилник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ом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спровођењу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електронског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анкет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ирања</w:t>
      </w:r>
      <w:r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на</w:t>
      </w:r>
      <w:proofErr w:type="spellEnd"/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При</w:t>
      </w:r>
      <w:r>
        <w:rPr>
          <w:rFonts w:ascii="Times New Roman" w:hAnsi="Times New Roman"/>
          <w:bCs/>
          <w:i/>
          <w:color w:val="1F4E79"/>
          <w:spacing w:val="4"/>
          <w:szCs w:val="24"/>
          <w:lang w:val="sr-Latn-RS"/>
        </w:rPr>
        <w:softHyphen/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родно-математичком факултету у Нишу, 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обавља разговор са наставницима који имају просечну оцену мању од 3</w:t>
      </w:r>
      <w:r w:rsidR="00F03175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00 о проблемима у реализацији наставе и добијеној оцени за зимски семестар 201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</w:p>
    <w:p w14:paraId="41D58AB7" w14:textId="58D90060" w:rsidR="00E54387" w:rsidRDefault="00E5438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17F03E5D" w14:textId="7695474E" w:rsidR="00EA5D07" w:rsidRDefault="00EA5D0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57DD6D27" w14:textId="64B147B5" w:rsidR="00EA5D07" w:rsidRDefault="00EA5D0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0018E318" w14:textId="55CCB841" w:rsidR="00EA5D07" w:rsidRDefault="00EA5D0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29C579B8" w14:textId="17DB62BC" w:rsidR="00EA5D07" w:rsidRDefault="00EA5D0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5667866F" w14:textId="6AD0F222" w:rsidR="00EA5D07" w:rsidRDefault="00EA5D0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6CE5E4CE" w14:textId="77777777" w:rsidR="00F03175" w:rsidRDefault="00F03175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17303EDC" w14:textId="30E83EBC" w:rsidR="00EA5D07" w:rsidRDefault="00EA5D0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58BB90B5" w14:textId="77777777" w:rsidR="00EA5D07" w:rsidRDefault="00EA5D0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492DFF3B" w14:textId="77777777" w:rsidR="00EA5D07" w:rsidRDefault="00EA5D07" w:rsidP="00EA5D07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  <w:r>
        <w:rPr>
          <w:rFonts w:ascii="Times New Roman" w:hAnsi="Times New Roman"/>
          <w:b/>
          <w:bCs/>
          <w:color w:val="1F4E79"/>
          <w:lang w:val="sr-Cyrl-RS"/>
        </w:rPr>
        <w:lastRenderedPageBreak/>
        <w:t xml:space="preserve">Табела 1. </w:t>
      </w:r>
      <w:r w:rsidRPr="00EB235B">
        <w:rPr>
          <w:rFonts w:ascii="Times New Roman" w:hAnsi="Times New Roman"/>
          <w:b/>
          <w:bCs/>
          <w:color w:val="1F4E79"/>
          <w:lang w:val="sr-Cyrl-RS"/>
        </w:rPr>
        <w:t>Укупн</w:t>
      </w:r>
      <w:r>
        <w:rPr>
          <w:rFonts w:ascii="Times New Roman" w:hAnsi="Times New Roman"/>
          <w:b/>
          <w:bCs/>
          <w:color w:val="1F4E79"/>
          <w:lang w:val="sr-Cyrl-RS"/>
        </w:rPr>
        <w:t>е</w:t>
      </w:r>
      <w:r w:rsidRPr="00EB235B">
        <w:rPr>
          <w:rFonts w:ascii="Times New Roman" w:hAnsi="Times New Roman"/>
          <w:b/>
          <w:bCs/>
          <w:color w:val="1F4E79"/>
          <w:lang w:val="sr-Cyrl-RS"/>
        </w:rPr>
        <w:t xml:space="preserve"> просечн</w:t>
      </w:r>
      <w:r>
        <w:rPr>
          <w:rFonts w:ascii="Times New Roman" w:hAnsi="Times New Roman"/>
          <w:b/>
          <w:bCs/>
          <w:color w:val="1F4E79"/>
          <w:lang w:val="sr-Cyrl-RS"/>
        </w:rPr>
        <w:t xml:space="preserve">е </w:t>
      </w:r>
      <w:r w:rsidRPr="00EB235B">
        <w:rPr>
          <w:rFonts w:ascii="Times New Roman" w:hAnsi="Times New Roman"/>
          <w:b/>
          <w:bCs/>
          <w:color w:val="1F4E79"/>
          <w:lang w:val="sr-Cyrl-RS"/>
        </w:rPr>
        <w:t>оцен</w:t>
      </w:r>
      <w:r>
        <w:rPr>
          <w:rFonts w:ascii="Times New Roman" w:hAnsi="Times New Roman"/>
          <w:b/>
          <w:bCs/>
          <w:color w:val="1F4E79"/>
          <w:lang w:val="sr-Cyrl-RS"/>
        </w:rPr>
        <w:t>е</w:t>
      </w:r>
      <w:r w:rsidRPr="00EB235B">
        <w:rPr>
          <w:rFonts w:ascii="Times New Roman" w:hAnsi="Times New Roman"/>
          <w:b/>
          <w:bCs/>
          <w:color w:val="1F4E79"/>
          <w:lang w:val="sr-Cyrl-RS"/>
        </w:rPr>
        <w:t xml:space="preserve"> </w:t>
      </w:r>
      <w:r>
        <w:rPr>
          <w:rFonts w:ascii="Times New Roman" w:hAnsi="Times New Roman"/>
          <w:b/>
          <w:bCs/>
          <w:color w:val="1F4E79"/>
          <w:lang w:val="sr-Cyrl-RS"/>
        </w:rPr>
        <w:t>наставника и сарадника,</w:t>
      </w:r>
      <w:r w:rsidRPr="00EB235B">
        <w:rPr>
          <w:rFonts w:ascii="Times New Roman" w:hAnsi="Times New Roman"/>
          <w:b/>
          <w:bCs/>
          <w:color w:val="1F4E79"/>
          <w:lang w:val="sr-Cyrl-RS"/>
        </w:rPr>
        <w:t xml:space="preserve"> </w:t>
      </w:r>
      <w:r>
        <w:rPr>
          <w:rFonts w:ascii="Times New Roman" w:hAnsi="Times New Roman"/>
          <w:b/>
          <w:bCs/>
          <w:color w:val="1F4E79"/>
          <w:lang w:val="sr-Cyrl-RS"/>
        </w:rPr>
        <w:t xml:space="preserve">врсти студија и </w:t>
      </w:r>
      <w:r w:rsidRPr="00EB235B">
        <w:rPr>
          <w:rFonts w:ascii="Times New Roman" w:hAnsi="Times New Roman"/>
          <w:b/>
          <w:bCs/>
          <w:color w:val="1F4E79"/>
          <w:lang w:val="sr-Cyrl-RS"/>
        </w:rPr>
        <w:t>студијск</w:t>
      </w:r>
      <w:r>
        <w:rPr>
          <w:rFonts w:ascii="Times New Roman" w:hAnsi="Times New Roman"/>
          <w:b/>
          <w:bCs/>
          <w:color w:val="1F4E79"/>
          <w:lang w:val="sr-Cyrl-RS"/>
        </w:rPr>
        <w:t>ог</w:t>
      </w:r>
      <w:r w:rsidRPr="00EB235B">
        <w:rPr>
          <w:rFonts w:ascii="Times New Roman" w:hAnsi="Times New Roman"/>
          <w:b/>
          <w:bCs/>
          <w:color w:val="1F4E79"/>
          <w:lang w:val="sr-Cyrl-RS"/>
        </w:rPr>
        <w:t xml:space="preserve"> програм</w:t>
      </w:r>
      <w:r>
        <w:rPr>
          <w:rFonts w:ascii="Times New Roman" w:hAnsi="Times New Roman"/>
          <w:b/>
          <w:bCs/>
          <w:color w:val="1F4E79"/>
          <w:lang w:val="sr-Cyrl-RS"/>
        </w:rPr>
        <w:t>а</w:t>
      </w:r>
    </w:p>
    <w:p w14:paraId="04A55912" w14:textId="77777777" w:rsidR="00EA5D07" w:rsidRDefault="00EA5D07" w:rsidP="00EA5D07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tbl>
      <w:tblPr>
        <w:tblStyle w:val="TableGrid"/>
        <w:tblW w:w="6363" w:type="dxa"/>
        <w:jc w:val="center"/>
        <w:tblLook w:val="04A0" w:firstRow="1" w:lastRow="0" w:firstColumn="1" w:lastColumn="0" w:noHBand="0" w:noVBand="1"/>
      </w:tblPr>
      <w:tblGrid>
        <w:gridCol w:w="2110"/>
        <w:gridCol w:w="1753"/>
        <w:gridCol w:w="2500"/>
      </w:tblGrid>
      <w:tr w:rsidR="00EA5D07" w14:paraId="542C1D76" w14:textId="77777777" w:rsidTr="00EA5D07">
        <w:trPr>
          <w:jc w:val="center"/>
        </w:trPr>
        <w:tc>
          <w:tcPr>
            <w:tcW w:w="2110" w:type="dxa"/>
          </w:tcPr>
          <w:p w14:paraId="5656CAD3" w14:textId="77777777" w:rsidR="00EA5D07" w:rsidRDefault="00EA5D07" w:rsidP="00EA5D07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Просечна оцена Департмана</w:t>
            </w:r>
          </w:p>
        </w:tc>
        <w:tc>
          <w:tcPr>
            <w:tcW w:w="1753" w:type="dxa"/>
          </w:tcPr>
          <w:p w14:paraId="5AAFDED6" w14:textId="7B6FA6AE" w:rsidR="00EA5D07" w:rsidRDefault="00EA5D07" w:rsidP="00EA5D07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Просечна оцена ДАС</w:t>
            </w:r>
          </w:p>
        </w:tc>
        <w:tc>
          <w:tcPr>
            <w:tcW w:w="2500" w:type="dxa"/>
          </w:tcPr>
          <w:p w14:paraId="28049DF2" w14:textId="694B8A8A" w:rsidR="00EA5D07" w:rsidRDefault="00EA5D07" w:rsidP="00EA5D07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Просечна оцена  студијског програма ДАС Хемија 2014</w:t>
            </w:r>
          </w:p>
        </w:tc>
      </w:tr>
      <w:tr w:rsidR="00EA5D07" w14:paraId="36AF4782" w14:textId="77777777" w:rsidTr="00EA5D07">
        <w:trPr>
          <w:jc w:val="center"/>
        </w:trPr>
        <w:tc>
          <w:tcPr>
            <w:tcW w:w="2110" w:type="dxa"/>
          </w:tcPr>
          <w:p w14:paraId="3B731BD2" w14:textId="1FD8CDCD" w:rsidR="00EA5D07" w:rsidRDefault="00EA5D07" w:rsidP="00EA5D07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</w:t>
            </w:r>
            <w:r w:rsidR="00F03175"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34</w:t>
            </w:r>
          </w:p>
        </w:tc>
        <w:tc>
          <w:tcPr>
            <w:tcW w:w="1753" w:type="dxa"/>
          </w:tcPr>
          <w:p w14:paraId="49FF2CF7" w14:textId="707943CA" w:rsidR="00EA5D07" w:rsidRDefault="00EA5D07" w:rsidP="00EA5D07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</w:t>
            </w:r>
            <w:r w:rsidR="00F03175"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77</w:t>
            </w:r>
          </w:p>
        </w:tc>
        <w:tc>
          <w:tcPr>
            <w:tcW w:w="2500" w:type="dxa"/>
          </w:tcPr>
          <w:p w14:paraId="5D6CEC3A" w14:textId="3824FF7B" w:rsidR="00EA5D07" w:rsidRDefault="00EA5D07" w:rsidP="00EA5D07">
            <w:pPr>
              <w:pStyle w:val="ListParagraph"/>
              <w:spacing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color w:val="1F4E79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4</w:t>
            </w:r>
            <w:r w:rsidR="00F03175"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1F4E79"/>
                <w:lang w:val="sr-Cyrl-RS"/>
              </w:rPr>
              <w:t>73</w:t>
            </w:r>
          </w:p>
        </w:tc>
      </w:tr>
    </w:tbl>
    <w:p w14:paraId="7D572947" w14:textId="77777777" w:rsidR="00EA5D07" w:rsidRDefault="00EA5D07" w:rsidP="00EA5D07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color w:val="1F4E79"/>
          <w:lang w:val="sr-Cyrl-RS"/>
        </w:rPr>
      </w:pPr>
    </w:p>
    <w:p w14:paraId="13D78DF2" w14:textId="77777777" w:rsidR="00EA5D07" w:rsidRDefault="00EA5D07" w:rsidP="00EA5D07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4F6D27D9" w14:textId="49BC79AE" w:rsidR="00EA5D07" w:rsidRDefault="00EA5D07" w:rsidP="00EA5D07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bookmarkStart w:id="1" w:name="_Hlk26030456"/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Према подацима добијеним анкетом, студијски програм 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Д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АС</w:t>
      </w:r>
      <w:r w:rsidR="00F03175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Х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емија 2014 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је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оцењен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>висок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ом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оцен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ом, као и оцена врсте студија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Сходно малом броју анкетираних студената не можемо ове оцене узети при разматрању реалне слике рада Департмана за хемију.</w:t>
      </w:r>
      <w:r w:rsidR="00293AA7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Такође, због малог броја студената који је попунио анкету (1), није узето</w:t>
      </w:r>
      <w:r w:rsidRPr="00DE6D82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  <w:r w:rsidR="00293AA7">
        <w:rPr>
          <w:rFonts w:ascii="Times New Roman" w:hAnsi="Times New Roman" w:cs="Times New Roman"/>
          <w:bCs/>
          <w:spacing w:val="4"/>
          <w:szCs w:val="24"/>
          <w:lang w:val="sr-Cyrl-RS"/>
        </w:rPr>
        <w:t>у обзир вредновање квалитета наставног процеса.</w:t>
      </w:r>
    </w:p>
    <w:bookmarkEnd w:id="1"/>
    <w:p w14:paraId="299E8CBF" w14:textId="77777777" w:rsidR="00EA5D07" w:rsidRDefault="00EA5D07" w:rsidP="00EA5D07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428A37DB" w14:textId="54865B89" w:rsidR="00EA5D07" w:rsidRPr="005242EF" w:rsidRDefault="00EA5D07" w:rsidP="00EA5D07">
      <w:pPr>
        <w:ind w:firstLine="0"/>
        <w:jc w:val="left"/>
        <w:rPr>
          <w:rFonts w:ascii="Times New Roman" w:hAnsi="Times New Roman" w:cs="Times New Roman"/>
          <w:bCs/>
          <w:spacing w:val="3"/>
          <w:szCs w:val="24"/>
          <w:lang w:val="sr-Cyrl-RS"/>
        </w:rPr>
      </w:pP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>Наниже у табел</w:t>
      </w:r>
      <w:r w:rsidR="00293AA7">
        <w:rPr>
          <w:rFonts w:ascii="Times New Roman" w:hAnsi="Times New Roman" w:cs="Times New Roman"/>
          <w:bCs/>
          <w:spacing w:val="3"/>
          <w:szCs w:val="24"/>
          <w:lang w:val="sr-Cyrl-RS"/>
        </w:rPr>
        <w:t>и</w:t>
      </w: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 су дати резултати</w:t>
      </w:r>
      <w:r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 </w:t>
      </w: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>вреднова</w:t>
      </w:r>
      <w:r>
        <w:rPr>
          <w:rFonts w:ascii="Times New Roman" w:hAnsi="Times New Roman" w:cs="Times New Roman"/>
          <w:bCs/>
          <w:spacing w:val="3"/>
          <w:szCs w:val="24"/>
          <w:lang w:val="sr-Cyrl-RS"/>
        </w:rPr>
        <w:t>њ</w:t>
      </w:r>
      <w:r w:rsidRPr="005242EF">
        <w:rPr>
          <w:rFonts w:ascii="Times New Roman" w:hAnsi="Times New Roman" w:cs="Times New Roman"/>
          <w:bCs/>
          <w:spacing w:val="3"/>
          <w:szCs w:val="24"/>
          <w:lang w:val="sr-Cyrl-RS"/>
        </w:rPr>
        <w:t xml:space="preserve">а стандарда квалитета установе </w:t>
      </w:r>
      <w:r>
        <w:rPr>
          <w:rFonts w:ascii="Times New Roman" w:hAnsi="Times New Roman" w:cs="Times New Roman"/>
          <w:bCs/>
          <w:spacing w:val="3"/>
          <w:szCs w:val="24"/>
          <w:lang w:val="sr-Cyrl-RS"/>
        </w:rPr>
        <w:t>оцењених од стране наставника и сарадник</w:t>
      </w:r>
      <w:r w:rsidR="00293AA7">
        <w:rPr>
          <w:rFonts w:ascii="Times New Roman" w:hAnsi="Times New Roman" w:cs="Times New Roman"/>
          <w:bCs/>
          <w:spacing w:val="3"/>
          <w:szCs w:val="24"/>
          <w:lang w:val="sr-Cyrl-RS"/>
        </w:rPr>
        <w:t>а</w:t>
      </w:r>
      <w:r>
        <w:rPr>
          <w:rFonts w:ascii="Times New Roman" w:hAnsi="Times New Roman" w:cs="Times New Roman"/>
          <w:bCs/>
          <w:szCs w:val="24"/>
          <w:lang w:val="sr-Cyrl-RS"/>
        </w:rPr>
        <w:t>.</w:t>
      </w:r>
    </w:p>
    <w:p w14:paraId="4B8D9670" w14:textId="77777777" w:rsidR="00EA5D07" w:rsidRDefault="00EA5D07" w:rsidP="00EA5D07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11D12447" w14:textId="77777777" w:rsidR="00EA5D07" w:rsidRDefault="00EA5D07" w:rsidP="00EA5D07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7619B376" w14:textId="31DA3E35" w:rsidR="00760A1B" w:rsidRDefault="00760A1B" w:rsidP="001D4BB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7F1B6C19" w14:textId="25BB7B90" w:rsidR="007A6B11" w:rsidRDefault="007A6B11" w:rsidP="001D4BB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42670F04" w14:textId="1C913AC4" w:rsidR="00593D6B" w:rsidRDefault="00593D6B">
      <w:pPr>
        <w:ind w:firstLine="0"/>
        <w:jc w:val="left"/>
        <w:rPr>
          <w:rFonts w:ascii="Times New Roman" w:hAnsi="Times New Roman"/>
          <w:spacing w:val="3"/>
          <w:lang w:val="sr-Cyrl-CS"/>
        </w:rPr>
      </w:pPr>
    </w:p>
    <w:p w14:paraId="41290D21" w14:textId="5EE9874C" w:rsidR="00526295" w:rsidRDefault="00526295">
      <w:pPr>
        <w:ind w:firstLine="0"/>
        <w:jc w:val="left"/>
        <w:rPr>
          <w:rFonts w:ascii="Times New Roman" w:hAnsi="Times New Roman"/>
          <w:spacing w:val="3"/>
          <w:lang w:val="sr-Cyrl-CS"/>
        </w:rPr>
      </w:pPr>
    </w:p>
    <w:p w14:paraId="3FF8666C" w14:textId="0A883DEF" w:rsidR="00526295" w:rsidRDefault="00526295">
      <w:pPr>
        <w:ind w:firstLine="0"/>
        <w:jc w:val="left"/>
        <w:rPr>
          <w:rFonts w:ascii="Times New Roman" w:hAnsi="Times New Roman"/>
          <w:spacing w:val="3"/>
          <w:lang w:val="sr-Cyrl-CS"/>
        </w:rPr>
      </w:pPr>
    </w:p>
    <w:p w14:paraId="06B7D7D6" w14:textId="6EC42582" w:rsidR="009552EE" w:rsidRDefault="009552EE" w:rsidP="00A478BB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lang w:val="sr-Cyrl-CS"/>
        </w:rPr>
      </w:pPr>
    </w:p>
    <w:p w14:paraId="33CCFFC2" w14:textId="27BCAD4D" w:rsidR="006A0F9E" w:rsidRDefault="006A0F9E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0C5134A6" w14:textId="225D7755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76B7C61A" w14:textId="0337C591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0DA2F15E" w14:textId="3F1264A3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3FABA89E" w14:textId="3770825A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72457F13" w14:textId="6F28E792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0F48CCFE" w14:textId="76ECF6F9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7BCBB254" w14:textId="508534BB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2144B949" w14:textId="6484E6B5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599388A4" w14:textId="0BEDE215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400705B0" w14:textId="68720468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791FF0F4" w14:textId="596BC56A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16814841" w14:textId="78BDA9CB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1F27DC31" w14:textId="5736F8A0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72ECEE22" w14:textId="067890A8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5A522BB6" w14:textId="1D63C52D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179023F2" w14:textId="0FBFB12A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47FC5F37" w14:textId="37DD9B58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4B9D5B0E" w14:textId="6EBB0AFD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18A18320" w14:textId="073015CE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5AC135A2" w14:textId="413371BA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6D9EB94B" w14:textId="7D377272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532E7786" w14:textId="38AC301D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40BE999C" w14:textId="77777777" w:rsidR="00293AA7" w:rsidRDefault="00293AA7">
      <w:pPr>
        <w:ind w:firstLine="0"/>
        <w:jc w:val="left"/>
        <w:rPr>
          <w:rFonts w:ascii="Times New Roman" w:hAnsi="Times New Roman"/>
          <w:b/>
          <w:color w:val="1F497D" w:themeColor="text2"/>
          <w:spacing w:val="3"/>
        </w:rPr>
      </w:pPr>
    </w:p>
    <w:p w14:paraId="32674D89" w14:textId="25C8E30B" w:rsidR="006B2F37" w:rsidRDefault="003F1BE1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  <w:lang w:val="sr-Cyrl-RS"/>
        </w:rPr>
      </w:pPr>
      <w:r w:rsidRPr="001D3B0F">
        <w:rPr>
          <w:rFonts w:ascii="Times New Roman" w:hAnsi="Times New Roman"/>
          <w:b/>
          <w:color w:val="1F497D" w:themeColor="text2"/>
          <w:spacing w:val="3"/>
        </w:rPr>
        <w:lastRenderedPageBreak/>
        <w:t xml:space="preserve">РЕЗУЛТАТИ ВРЕДНОВАЊА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 xml:space="preserve">СТАНДАРДА 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КВАЛИТЕТА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УСТАНОВЕ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 </w:t>
      </w:r>
      <w:r>
        <w:rPr>
          <w:rFonts w:ascii="Times New Roman" w:hAnsi="Times New Roman"/>
          <w:b/>
          <w:color w:val="1F497D" w:themeColor="text2"/>
          <w:spacing w:val="3"/>
        </w:rPr>
        <w:br/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ОЦЕЊЕНИХ ОД СТРАНЕ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НАСТАВНИКА И САРАДНИКА</w:t>
      </w:r>
    </w:p>
    <w:p w14:paraId="26BAF4F7" w14:textId="77777777" w:rsidR="006A0F9E" w:rsidRPr="006B2F37" w:rsidRDefault="006A0F9E" w:rsidP="006B2F37">
      <w:pPr>
        <w:ind w:firstLine="0"/>
        <w:jc w:val="center"/>
        <w:rPr>
          <w:rFonts w:ascii="Times New Roman" w:hAnsi="Times New Roman"/>
          <w:color w:val="1F497D" w:themeColor="text2"/>
          <w:spacing w:val="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1121"/>
      </w:tblGrid>
      <w:tr w:rsidR="006A0F9E" w:rsidRPr="00F0607F" w14:paraId="4A5491C4" w14:textId="77777777" w:rsidTr="006A0F9E">
        <w:trPr>
          <w:trHeight w:val="293"/>
        </w:trPr>
        <w:tc>
          <w:tcPr>
            <w:tcW w:w="8500" w:type="dxa"/>
            <w:vMerge w:val="restart"/>
            <w:noWrap/>
            <w:hideMark/>
          </w:tcPr>
          <w:p w14:paraId="42CFDDF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proofErr w:type="spellStart"/>
            <w:r w:rsidRPr="00F0607F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Питање</w:t>
            </w:r>
            <w:proofErr w:type="spellEnd"/>
          </w:p>
        </w:tc>
        <w:tc>
          <w:tcPr>
            <w:tcW w:w="1121" w:type="dxa"/>
            <w:vMerge w:val="restart"/>
            <w:noWrap/>
            <w:hideMark/>
          </w:tcPr>
          <w:p w14:paraId="3B83CCC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proofErr w:type="spellStart"/>
            <w:r w:rsidRPr="00F0607F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Просек</w:t>
            </w:r>
            <w:proofErr w:type="spellEnd"/>
          </w:p>
        </w:tc>
      </w:tr>
      <w:tr w:rsidR="006A0F9E" w:rsidRPr="00F0607F" w14:paraId="755FC5E8" w14:textId="77777777" w:rsidTr="006A0F9E">
        <w:trPr>
          <w:trHeight w:val="293"/>
        </w:trPr>
        <w:tc>
          <w:tcPr>
            <w:tcW w:w="8500" w:type="dxa"/>
            <w:vMerge/>
            <w:hideMark/>
          </w:tcPr>
          <w:p w14:paraId="2968D60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14:paraId="35E6E15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</w:p>
        </w:tc>
      </w:tr>
      <w:tr w:rsidR="006A0F9E" w:rsidRPr="00F0607F" w14:paraId="5D6CD306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638466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примењује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одговарајуће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стандарде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поступке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7F281D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7CD59F8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32E881E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изграђену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организациону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структуру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CCCEE1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7BFBB3EA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2A569F7E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3.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Систем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58317253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25C6BF3C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0232091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4.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опремљена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бројем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библиотечких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јединица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одговарајућом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НИР-а.</w:t>
            </w:r>
          </w:p>
        </w:tc>
        <w:tc>
          <w:tcPr>
            <w:tcW w:w="1121" w:type="dxa"/>
            <w:noWrap/>
            <w:hideMark/>
          </w:tcPr>
          <w:p w14:paraId="5492FB7D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7E990FB2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54A31C9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5.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08CA4C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4.8</w:t>
            </w:r>
          </w:p>
        </w:tc>
      </w:tr>
      <w:tr w:rsidR="006A0F9E" w:rsidRPr="00F0607F" w14:paraId="6D27044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50FC1779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6.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Доступне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базе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података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интернет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сервиси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библиотеци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21D67E1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3B83C307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0CDC9E45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7.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Опремљеност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информатичком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06B07BA3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4.1</w:t>
            </w:r>
          </w:p>
        </w:tc>
      </w:tr>
      <w:tr w:rsidR="006A0F9E" w:rsidRPr="00F0607F" w14:paraId="47849FCA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48DDC0D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8.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Сајт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пружа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информације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F93939"/>
            <w:noWrap/>
            <w:hideMark/>
          </w:tcPr>
          <w:p w14:paraId="7E3B645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3.9</w:t>
            </w:r>
          </w:p>
        </w:tc>
      </w:tr>
      <w:tr w:rsidR="006A0F9E" w:rsidRPr="00F0607F" w14:paraId="34FAB052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45F2E7E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9.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Рачунарског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центра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C6D9F1" w:themeFill="text2" w:themeFillTint="33"/>
            <w:noWrap/>
            <w:hideMark/>
          </w:tcPr>
          <w:p w14:paraId="12B7EC8E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4.9</w:t>
            </w:r>
          </w:p>
        </w:tc>
      </w:tr>
      <w:tr w:rsidR="006A0F9E" w:rsidRPr="00F0607F" w14:paraId="37731CAA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104AFE2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10.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судентске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службе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C6D9F1" w:themeFill="text2" w:themeFillTint="33"/>
            <w:noWrap/>
            <w:hideMark/>
          </w:tcPr>
          <w:p w14:paraId="2803DE4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4.9</w:t>
            </w:r>
          </w:p>
        </w:tc>
      </w:tr>
      <w:tr w:rsidR="006A0F9E" w:rsidRPr="00F0607F" w14:paraId="23105AE9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561F7B8D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11.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административних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служби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0D3A93E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07A554B5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57C56A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12.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E149BAF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6B1BA2B6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6CAF45D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13.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Благовремено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информисан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/а о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одлукама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донетим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Наставно-научном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већу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Савету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представника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катедре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B17621D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6ECAC87A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1E3E187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14.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улаже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довољно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средстава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финансирање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набавке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потрошног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материјала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НИР,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независно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пројеката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финансираних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Министарства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науке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,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просвете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технолошког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развоја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F3CE93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4.0</w:t>
            </w:r>
          </w:p>
        </w:tc>
      </w:tr>
      <w:tr w:rsidR="006A0F9E" w:rsidRPr="00F0607F" w14:paraId="21AB366E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479DBB1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15.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подржава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развој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истраживачког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подмлатка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01EDFA6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2E4900F0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053CF9D" w14:textId="32933F11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16.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између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везана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НИР/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уметнички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оквиру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сродних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научних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A50869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2E67404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1B5D11A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17.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Провера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обавља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утврђеним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стандардима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поступцима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723AB15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36E4B32C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4A19191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18.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Провера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врши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систематски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периодично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3FE45D8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57598D8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EBA827C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19.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Систем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обезбеђења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542CD7A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51F6CB7A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2196B9C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20.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Универзитетска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опремљена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бројем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библиотечких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јединица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одговарајућом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НИР-а.</w:t>
            </w:r>
          </w:p>
        </w:tc>
        <w:tc>
          <w:tcPr>
            <w:tcW w:w="1121" w:type="dxa"/>
            <w:noWrap/>
            <w:hideMark/>
          </w:tcPr>
          <w:p w14:paraId="2E60C87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4782553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03E8F02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21.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Универзитетске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библиотеке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A5199B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0410C954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6E0B51F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22.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Доступне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базе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података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интернет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сервиси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Универзитетској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библиотеци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одговарају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353E1F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4.6</w:t>
            </w:r>
          </w:p>
        </w:tc>
      </w:tr>
      <w:tr w:rsidR="006A0F9E" w:rsidRPr="00F0607F" w14:paraId="2B9BCEF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1308540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23.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ЈУНИСа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18BCF48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377720E3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1360342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24.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Сајт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пружа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потребне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информације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CBD5BC9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6FCF5082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0356979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25.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административних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служби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</w:p>
        </w:tc>
        <w:tc>
          <w:tcPr>
            <w:tcW w:w="1121" w:type="dxa"/>
            <w:noWrap/>
            <w:hideMark/>
          </w:tcPr>
          <w:p w14:paraId="4C1C2BF6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4.5</w:t>
            </w:r>
          </w:p>
        </w:tc>
      </w:tr>
      <w:tr w:rsidR="006A0F9E" w:rsidRPr="00F0607F" w14:paraId="0FA0430B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7F508AC0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26.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FE7EDF2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4.4</w:t>
            </w:r>
          </w:p>
        </w:tc>
      </w:tr>
      <w:tr w:rsidR="006A0F9E" w:rsidRPr="00F0607F" w14:paraId="190B76A0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1238C694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27.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Благовремено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информисан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/а о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одлукама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донетим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Научно-стручним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већима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,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Сенату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Савету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од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представника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F93939"/>
            <w:noWrap/>
            <w:hideMark/>
          </w:tcPr>
          <w:p w14:paraId="2726DD7B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3.8</w:t>
            </w:r>
          </w:p>
        </w:tc>
      </w:tr>
      <w:tr w:rsidR="006A0F9E" w:rsidRPr="00F0607F" w14:paraId="76854A6C" w14:textId="77777777" w:rsidTr="006A0F9E">
        <w:trPr>
          <w:trHeight w:val="285"/>
        </w:trPr>
        <w:tc>
          <w:tcPr>
            <w:tcW w:w="8500" w:type="dxa"/>
            <w:noWrap/>
            <w:hideMark/>
          </w:tcPr>
          <w:p w14:paraId="67D2A1C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28.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Универзитет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подржава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развој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истраживачког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подмлатка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на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6953E57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spacing w:val="3"/>
                <w:sz w:val="20"/>
                <w:szCs w:val="20"/>
              </w:rPr>
              <w:t>4.3</w:t>
            </w:r>
          </w:p>
        </w:tc>
      </w:tr>
      <w:tr w:rsidR="006A0F9E" w:rsidRPr="00F0607F" w14:paraId="4CB5A6F5" w14:textId="77777777" w:rsidTr="000237D4">
        <w:trPr>
          <w:trHeight w:val="285"/>
        </w:trPr>
        <w:tc>
          <w:tcPr>
            <w:tcW w:w="8500" w:type="dxa"/>
            <w:noWrap/>
            <w:hideMark/>
          </w:tcPr>
          <w:p w14:paraId="728501A0" w14:textId="7108FA8D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29.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Комуникација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између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факултета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повезивању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наставника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оквиру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сродних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научних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области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F93939"/>
            <w:noWrap/>
            <w:hideMark/>
          </w:tcPr>
          <w:p w14:paraId="739C42A5" w14:textId="77777777" w:rsidR="006A0F9E" w:rsidRPr="00F0607F" w:rsidRDefault="006A0F9E" w:rsidP="006A0F9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r w:rsidRPr="00F060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3.6</w:t>
            </w:r>
          </w:p>
        </w:tc>
      </w:tr>
    </w:tbl>
    <w:p w14:paraId="605FE3BC" w14:textId="77777777" w:rsidR="001D4BB9" w:rsidRDefault="001D4BB9" w:rsidP="00A478BB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lang w:val="sr-Cyrl-CS"/>
        </w:rPr>
      </w:pPr>
    </w:p>
    <w:p w14:paraId="354B2F2D" w14:textId="6B17BDAD" w:rsidR="00743399" w:rsidRDefault="00DA0732" w:rsidP="00293AA7">
      <w:pPr>
        <w:ind w:firstLine="0"/>
        <w:jc w:val="center"/>
        <w:rPr>
          <w:lang w:val="sr-Cyrl-CS"/>
        </w:rPr>
      </w:pPr>
      <w:r>
        <w:rPr>
          <w:rFonts w:ascii="Times New Roman" w:hAnsi="Times New Roman"/>
          <w:b/>
          <w:color w:val="1F4E79"/>
          <w:sz w:val="32"/>
          <w:szCs w:val="32"/>
          <w:lang w:val="sr-Cyrl-RS"/>
        </w:rPr>
        <w:br w:type="page"/>
      </w:r>
    </w:p>
    <w:p w14:paraId="4F0284A7" w14:textId="4476D4D9" w:rsidR="00743399" w:rsidRPr="005935EF" w:rsidRDefault="00743399" w:rsidP="00743399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lastRenderedPageBreak/>
        <w:t xml:space="preserve">Део плана активности Комисије за обезбеђење квалитета Факултета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на основу анализе резултата анкетирања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за период зимски семестар 201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t>7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/1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t>8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.</w:t>
      </w:r>
    </w:p>
    <w:p w14:paraId="2EA7ECEF" w14:textId="77777777" w:rsidR="00743399" w:rsidRDefault="00743399" w:rsidP="00743399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7B3966BC" w14:textId="77777777" w:rsidR="00743399" w:rsidRDefault="00743399" w:rsidP="00743399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Комисија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за обезбеђење квалитета Факултета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предлаже следеће мере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:</w:t>
      </w:r>
    </w:p>
    <w:p w14:paraId="6427394C" w14:textId="77777777" w:rsidR="00743399" w:rsidRPr="00952474" w:rsidRDefault="00743399" w:rsidP="00743399">
      <w:pPr>
        <w:ind w:firstLine="0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27DFC65F" w14:textId="22F1EA1A" w:rsidR="00743399" w:rsidRPr="00952474" w:rsidRDefault="000F40BF" w:rsidP="00743399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</w:t>
      </w:r>
      <w:r w:rsidR="0074339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743399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управљања факултетом и ненаставне подршке на ПМФ-у:</w:t>
      </w:r>
    </w:p>
    <w:p w14:paraId="364F6B4B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3A173F6E" w14:textId="32119CEB" w:rsidR="002D05E9" w:rsidRDefault="00743399" w:rsidP="00EA5D0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Повећати број промотивних публикација Факултета</w:t>
      </w:r>
      <w:r w:rsidR="000F40BF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и </w:t>
      </w:r>
      <w:r w:rsidR="008C443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видљивост институције. Могућност </w:t>
      </w:r>
      <w:r w:rsidR="00FA322A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ангажовања маркетиншке агенције.</w:t>
      </w:r>
    </w:p>
    <w:p w14:paraId="2974B7BA" w14:textId="68BDA11C" w:rsidR="002D05E9" w:rsidRDefault="006C4FB4" w:rsidP="00EA5D0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Сајт Факултета је потребно реди</w:t>
      </w:r>
      <w:r w:rsidR="00211BD9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зајнирати. Вршити анкетирање студената и наставника о дизајну и  информацијама које пружа сајт</w:t>
      </w:r>
      <w:r w:rsidR="002D05E9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7033770E" w14:textId="45CECBFE" w:rsidR="00351F4C" w:rsidRPr="002D05E9" w:rsidRDefault="00C82CB7" w:rsidP="00EA5D0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циљу б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лаговремено</w:t>
      </w: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и адекватно</w:t>
      </w: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информиса</w:t>
      </w:r>
      <w:r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ња</w:t>
      </w:r>
      <w:r w:rsidR="00351F4C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о одлукама донетим на Научно-стручним већима, Сенату и Савету Универзитета од стране представника факултета</w:t>
      </w:r>
      <w:r w:rsidR="002D05E9" w:rsidRPr="002D05E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, увести могућност да се на сајт постављају овакве одлуке.</w:t>
      </w:r>
    </w:p>
    <w:p w14:paraId="19E805B7" w14:textId="77777777" w:rsidR="00743399" w:rsidRPr="00952474" w:rsidRDefault="00743399" w:rsidP="00743399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75300BC7" w14:textId="6B77745B" w:rsidR="00743399" w:rsidRPr="00952474" w:rsidRDefault="00052AFC" w:rsidP="00743399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Б</w:t>
      </w:r>
      <w:r w:rsidR="0074339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743399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простора и опреме на ПМФ-у:</w:t>
      </w:r>
    </w:p>
    <w:p w14:paraId="03016665" w14:textId="20FC54A6" w:rsidR="00F52B11" w:rsidRDefault="00F52B11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</w:t>
      </w:r>
      <w:r w:rsidR="006C4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ређивањ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е</w:t>
      </w:r>
      <w:r w:rsidR="006C4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ограде око зграде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(скидање старе фарбе и стављање нове)</w:t>
      </w:r>
    </w:p>
    <w:p w14:paraId="0B4827E5" w14:textId="031F3E3C" w:rsidR="005311E9" w:rsidRDefault="005311E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Поплочавање степеница 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код паркинга</w:t>
      </w:r>
    </w:p>
    <w:p w14:paraId="60A33194" w14:textId="0B2472FF" w:rsidR="00D5095E" w:rsidRDefault="001165DA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Уклањање помоћне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ко</w:t>
      </w:r>
      <w:r w:rsidR="00D5727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н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зо</w:t>
      </w:r>
      <w:r w:rsidR="00D5727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л</w:t>
      </w:r>
      <w:r w:rsidR="00D5095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е поред степеница са паркинга</w:t>
      </w:r>
    </w:p>
    <w:p w14:paraId="105C4DAC" w14:textId="64CDA31C" w:rsidR="000A33A9" w:rsidRDefault="000A33A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Поплочавање дворишта.</w:t>
      </w:r>
    </w:p>
    <w:p w14:paraId="3FF7524C" w14:textId="3B98D8ED" w:rsidR="000A33A9" w:rsidRDefault="000A33A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Постављање додатних клупа</w:t>
      </w:r>
      <w:r w:rsidR="00DF79F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, сенице или сл. за студенте</w:t>
      </w:r>
    </w:p>
    <w:p w14:paraId="2FA104CF" w14:textId="545534AD" w:rsidR="00C71841" w:rsidRDefault="00C71841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Увођење чесме у двориште</w:t>
      </w:r>
    </w:p>
    <w:p w14:paraId="63D2A271" w14:textId="34D00CC3" w:rsidR="00525984" w:rsidRDefault="00525984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Постављање рекламне табле испре</w:t>
      </w:r>
      <w:r w:rsidR="00832A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д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МИН института</w:t>
      </w:r>
    </w:p>
    <w:p w14:paraId="7109414C" w14:textId="55BC78F3" w:rsidR="00BB0E16" w:rsidRDefault="00BB0E16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Обезбеђење зграде </w:t>
      </w:r>
      <w:r w:rsidR="00FE5D18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–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професионално</w:t>
      </w:r>
    </w:p>
    <w:p w14:paraId="42102E10" w14:textId="57E23450" w:rsidR="00FE5D18" w:rsidRDefault="00FE5D18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Увођење боље расвете дворишта</w:t>
      </w:r>
    </w:p>
    <w:p w14:paraId="25574B9C" w14:textId="77777777" w:rsidR="005311E9" w:rsidRDefault="005311E9" w:rsidP="005311E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Увести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монитор у главном холу факултета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. </w:t>
      </w:r>
    </w:p>
    <w:p w14:paraId="49B0A6C3" w14:textId="19E28C8D" w:rsidR="005311E9" w:rsidRDefault="005311E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остављање итисона у амфитеатар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</w:t>
      </w:r>
    </w:p>
    <w:p w14:paraId="05DFC19B" w14:textId="575630A6" w:rsidR="00052AFC" w:rsidRDefault="005311E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остављање плоча у </w:t>
      </w:r>
      <w:r w:rsidR="00F65F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делу </w:t>
      </w:r>
      <w:r w:rsidR="00FB35D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ходник</w:t>
      </w:r>
      <w:r w:rsidR="00F65F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 амфитеатар-студентска служба.</w:t>
      </w:r>
    </w:p>
    <w:p w14:paraId="2D1ACBE4" w14:textId="7167D5EC" w:rsidR="00F65F3E" w:rsidRPr="00952474" w:rsidRDefault="00F65F3E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Ренумерација просторија у пр</w:t>
      </w:r>
      <w:r w:rsidR="00DD1D5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иземљу зграде. Униформно обележавање </w:t>
      </w:r>
      <w:r w:rsidR="00DD5AA9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просторија.</w:t>
      </w:r>
    </w:p>
    <w:p w14:paraId="19E5767C" w14:textId="77777777" w:rsidR="00760965" w:rsidRDefault="00743399" w:rsidP="00760965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76096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Повећати ниво хигијене у </w:t>
      </w:r>
      <w:r w:rsidR="00EC50F5" w:rsidRPr="0076096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згради</w:t>
      </w:r>
      <w:r w:rsidRPr="00760965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04BFA5E5" w14:textId="02EE621A" w:rsidR="00760965" w:rsidRDefault="00D5095E" w:rsidP="00EA5D0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8A2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Инфо табла са распоредом просторија </w:t>
      </w:r>
      <w:r w:rsidR="008A2F06" w:rsidRPr="008A2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 именима запослених по просторијама (код библиотеке</w:t>
      </w:r>
      <w:r w:rsidR="00927241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, на улазу у факултет</w:t>
      </w:r>
      <w:r w:rsidR="008A2F06" w:rsidRPr="008A2F06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) </w:t>
      </w:r>
    </w:p>
    <w:p w14:paraId="0E363147" w14:textId="7019A980" w:rsidR="004838BA" w:rsidRPr="008A2F06" w:rsidRDefault="004838BA" w:rsidP="00EA5D0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Заузимање простора депоније, преко пута Факултета клупама или неким сличним садржајем</w:t>
      </w:r>
    </w:p>
    <w:p w14:paraId="53C14E1A" w14:textId="77777777" w:rsidR="00760965" w:rsidRDefault="00760965" w:rsidP="00927241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6C77C7D1" w14:textId="77777777" w:rsidR="00743399" w:rsidRPr="00952474" w:rsidRDefault="00743399" w:rsidP="00743399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Г) у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наставе:</w:t>
      </w:r>
    </w:p>
    <w:p w14:paraId="1B965778" w14:textId="171F7DA9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Јасније дефинисати исходе програма;</w:t>
      </w:r>
    </w:p>
    <w:p w14:paraId="71A65EF9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Испитати сагласност потребног ангажовања студената на предметима са одговарајућим ЕСПБ бодовима</w:t>
      </w:r>
    </w:p>
    <w:p w14:paraId="16966222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Поваћати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</w:t>
      </w:r>
    </w:p>
    <w:p w14:paraId="223F6694" w14:textId="77777777" w:rsidR="00743399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Потребно је боље међупредметно усаглашавање термина колоквијума, семинара и испита</w:t>
      </w:r>
    </w:p>
    <w:p w14:paraId="754F0664" w14:textId="77777777" w:rsidR="00743399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ратити оцене студената по предметима и дефинисати мере у случај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неправилне дистрибуције оцена</w:t>
      </w:r>
    </w:p>
    <w:p w14:paraId="73B5273B" w14:textId="77777777" w:rsidR="00743399" w:rsidRPr="00952474" w:rsidRDefault="00743399" w:rsidP="0074339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Усагласити у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већој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мери опрему и техничку подршку са облицима наставе. Снабдети све учионице белим таблама, пројекторима, као и одговарајућим прикључком за рачунаре и приступом интернету.</w:t>
      </w:r>
    </w:p>
    <w:p w14:paraId="07AEFAD9" w14:textId="77777777" w:rsidR="00743399" w:rsidRDefault="00743399" w:rsidP="00743399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5EDA0669" w14:textId="77777777" w:rsidR="00743399" w:rsidRDefault="00743399" w:rsidP="00743399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6D34D118" w14:textId="5AE541E4" w:rsidR="00743399" w:rsidRDefault="00743399" w:rsidP="00743399">
      <w:pPr>
        <w:pStyle w:val="ListParagraph"/>
        <w:widowControl w:val="0"/>
        <w:autoSpaceDE w:val="0"/>
        <w:autoSpaceDN w:val="0"/>
        <w:adjustRightInd w:val="0"/>
        <w:ind w:left="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Нишу,</w:t>
      </w:r>
      <w:r w:rsidR="00A15D7A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</w:t>
      </w:r>
      <w:r w:rsidR="00365CB5">
        <w:rPr>
          <w:rFonts w:ascii="Times New Roman" w:hAnsi="Times New Roman"/>
          <w:color w:val="1F4E79"/>
          <w:spacing w:val="3"/>
          <w:sz w:val="20"/>
          <w:szCs w:val="20"/>
        </w:rPr>
        <w:t>09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  <w:r w:rsidR="00365CB5">
        <w:rPr>
          <w:rFonts w:ascii="Times New Roman" w:hAnsi="Times New Roman"/>
          <w:color w:val="1F4E79"/>
          <w:spacing w:val="3"/>
          <w:sz w:val="20"/>
          <w:szCs w:val="20"/>
        </w:rPr>
        <w:t>10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.201</w:t>
      </w:r>
      <w:r w:rsidR="00A15D7A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8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596D9D9D" w14:textId="77777777" w:rsidR="00365CB5" w:rsidRPr="00952474" w:rsidRDefault="00365CB5" w:rsidP="00365CB5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color w:val="1F4E79"/>
          <w:spacing w:val="3"/>
          <w:sz w:val="22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2"/>
          <w:lang w:val="sr-Cyrl-RS"/>
        </w:rPr>
        <w:t>Председник Комисије за обезбеђење квалитета Природно-математичког факултета</w:t>
      </w:r>
    </w:p>
    <w:p w14:paraId="5D447CC1" w14:textId="77777777" w:rsidR="00365CB5" w:rsidRPr="00952474" w:rsidRDefault="00365CB5" w:rsidP="00365CB5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color w:val="1F4E79"/>
          <w:spacing w:val="3"/>
          <w:sz w:val="22"/>
          <w:lang w:val="sr-Cyrl-RS"/>
        </w:rPr>
      </w:pPr>
    </w:p>
    <w:p w14:paraId="1E467597" w14:textId="7E264A31" w:rsidR="00743399" w:rsidRDefault="00365CB5" w:rsidP="00365CB5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2"/>
          <w:lang w:val="sr-Cyrl-RS"/>
        </w:rPr>
        <w:t>Проф. др Татјана Анђелковић</w:t>
      </w:r>
    </w:p>
    <w:p w14:paraId="52C16EFE" w14:textId="15CF79B2" w:rsidR="00134C9B" w:rsidRDefault="00134C9B">
      <w:pPr>
        <w:ind w:firstLine="0"/>
        <w:jc w:val="left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</w:p>
    <w:sectPr w:rsidR="00134C9B" w:rsidSect="00BC5820">
      <w:headerReference w:type="default" r:id="rId8"/>
      <w:footerReference w:type="default" r:id="rId9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CE109" w14:textId="77777777" w:rsidR="00CB120B" w:rsidRDefault="00CB120B" w:rsidP="00BB1F50">
      <w:r>
        <w:separator/>
      </w:r>
    </w:p>
  </w:endnote>
  <w:endnote w:type="continuationSeparator" w:id="0">
    <w:p w14:paraId="18D036F3" w14:textId="77777777" w:rsidR="00CB120B" w:rsidRDefault="00CB120B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535570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74B8C08" w14:textId="77777777" w:rsidR="00EA5D07" w:rsidRPr="004279DF" w:rsidRDefault="00EA5D07" w:rsidP="004279DF">
            <w:pPr>
              <w:pStyle w:val="Footer"/>
              <w:ind w:firstLine="0"/>
              <w:jc w:val="center"/>
              <w:rPr>
                <w:sz w:val="20"/>
                <w:szCs w:val="20"/>
              </w:rPr>
            </w:pPr>
            <w:r w:rsidRPr="004279DF">
              <w:rPr>
                <w:sz w:val="20"/>
                <w:szCs w:val="20"/>
                <w:lang w:val="sr-Cyrl-RS"/>
              </w:rPr>
              <w:t>Страна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sz w:val="20"/>
                <w:szCs w:val="20"/>
                <w:lang w:val="sr-Cyrl-RS"/>
              </w:rPr>
              <w:t>од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47E6F3" w14:textId="77777777" w:rsidR="00EA5D07" w:rsidRDefault="00EA5D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4C37D" w14:textId="77777777" w:rsidR="00CB120B" w:rsidRDefault="00CB120B" w:rsidP="00BB1F50">
      <w:r>
        <w:separator/>
      </w:r>
    </w:p>
  </w:footnote>
  <w:footnote w:type="continuationSeparator" w:id="0">
    <w:p w14:paraId="0E60F6E3" w14:textId="77777777" w:rsidR="00CB120B" w:rsidRDefault="00CB120B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5B11F" w14:textId="77777777" w:rsidR="00EA5D07" w:rsidRPr="004279DF" w:rsidRDefault="00EA5D07" w:rsidP="004279DF">
    <w:pPr>
      <w:pStyle w:val="Header"/>
      <w:pBdr>
        <w:bottom w:val="thickThinSmallGap" w:sz="24" w:space="1" w:color="622423"/>
      </w:pBdr>
      <w:ind w:firstLine="0"/>
      <w:jc w:val="center"/>
      <w:rPr>
        <w:rFonts w:cs="Cambria"/>
        <w:szCs w:val="24"/>
      </w:rPr>
    </w:pPr>
    <w:r w:rsidRPr="004279DF">
      <w:rPr>
        <w:rFonts w:cs="Cambria"/>
        <w:szCs w:val="24"/>
        <w:lang w:val="ru-RU"/>
      </w:rPr>
      <w:t>Универзитет у Нишу Природно-математички факултет</w:t>
    </w:r>
  </w:p>
  <w:p w14:paraId="3178DD69" w14:textId="77777777" w:rsidR="00EA5D07" w:rsidRPr="001C2545" w:rsidRDefault="00EA5D07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01C99"/>
    <w:rsid w:val="00002AFE"/>
    <w:rsid w:val="00005E4A"/>
    <w:rsid w:val="00014B5B"/>
    <w:rsid w:val="000204F4"/>
    <w:rsid w:val="00022E92"/>
    <w:rsid w:val="000237D4"/>
    <w:rsid w:val="000319B1"/>
    <w:rsid w:val="00032D61"/>
    <w:rsid w:val="00041D65"/>
    <w:rsid w:val="00042639"/>
    <w:rsid w:val="0004597C"/>
    <w:rsid w:val="00046CD6"/>
    <w:rsid w:val="0005155B"/>
    <w:rsid w:val="00052AFC"/>
    <w:rsid w:val="00070229"/>
    <w:rsid w:val="000730C7"/>
    <w:rsid w:val="0008440A"/>
    <w:rsid w:val="0008526C"/>
    <w:rsid w:val="00091825"/>
    <w:rsid w:val="00095EC4"/>
    <w:rsid w:val="000A07B2"/>
    <w:rsid w:val="000A1823"/>
    <w:rsid w:val="000A33A9"/>
    <w:rsid w:val="000A60FB"/>
    <w:rsid w:val="000B5B97"/>
    <w:rsid w:val="000C0C06"/>
    <w:rsid w:val="000C5A8A"/>
    <w:rsid w:val="000D10B3"/>
    <w:rsid w:val="000D239E"/>
    <w:rsid w:val="000E2FDE"/>
    <w:rsid w:val="000E4C94"/>
    <w:rsid w:val="000F40BF"/>
    <w:rsid w:val="00104C72"/>
    <w:rsid w:val="001113A8"/>
    <w:rsid w:val="001165DA"/>
    <w:rsid w:val="0012577E"/>
    <w:rsid w:val="00134C9B"/>
    <w:rsid w:val="001357E9"/>
    <w:rsid w:val="00143349"/>
    <w:rsid w:val="00160D3F"/>
    <w:rsid w:val="00164F38"/>
    <w:rsid w:val="00167D9E"/>
    <w:rsid w:val="001752F1"/>
    <w:rsid w:val="00177460"/>
    <w:rsid w:val="00184B57"/>
    <w:rsid w:val="00190BBB"/>
    <w:rsid w:val="00192EFD"/>
    <w:rsid w:val="001B09BD"/>
    <w:rsid w:val="001B0DD4"/>
    <w:rsid w:val="001C2313"/>
    <w:rsid w:val="001C2545"/>
    <w:rsid w:val="001C7E25"/>
    <w:rsid w:val="001D2C79"/>
    <w:rsid w:val="001D3B0F"/>
    <w:rsid w:val="001D4BB9"/>
    <w:rsid w:val="001D6868"/>
    <w:rsid w:val="001E2C02"/>
    <w:rsid w:val="001F3D92"/>
    <w:rsid w:val="002013EB"/>
    <w:rsid w:val="00202A5A"/>
    <w:rsid w:val="002034EA"/>
    <w:rsid w:val="00211BD9"/>
    <w:rsid w:val="00214253"/>
    <w:rsid w:val="00215DAE"/>
    <w:rsid w:val="00221347"/>
    <w:rsid w:val="002308E5"/>
    <w:rsid w:val="00237FF3"/>
    <w:rsid w:val="00240820"/>
    <w:rsid w:val="00243511"/>
    <w:rsid w:val="00247D24"/>
    <w:rsid w:val="00256F6C"/>
    <w:rsid w:val="00273F93"/>
    <w:rsid w:val="00280AFD"/>
    <w:rsid w:val="002879ED"/>
    <w:rsid w:val="00290307"/>
    <w:rsid w:val="00293AA7"/>
    <w:rsid w:val="00294BD5"/>
    <w:rsid w:val="00295042"/>
    <w:rsid w:val="002962A6"/>
    <w:rsid w:val="002A206A"/>
    <w:rsid w:val="002A6B64"/>
    <w:rsid w:val="002B4FBB"/>
    <w:rsid w:val="002D05E9"/>
    <w:rsid w:val="002D1694"/>
    <w:rsid w:val="002D3B09"/>
    <w:rsid w:val="002F3B76"/>
    <w:rsid w:val="003025FD"/>
    <w:rsid w:val="0033152C"/>
    <w:rsid w:val="0034364B"/>
    <w:rsid w:val="0034380F"/>
    <w:rsid w:val="0034456B"/>
    <w:rsid w:val="00351E5D"/>
    <w:rsid w:val="00351F4C"/>
    <w:rsid w:val="00361850"/>
    <w:rsid w:val="00361EB3"/>
    <w:rsid w:val="0036440D"/>
    <w:rsid w:val="00365012"/>
    <w:rsid w:val="003657A4"/>
    <w:rsid w:val="00365CB5"/>
    <w:rsid w:val="00366B09"/>
    <w:rsid w:val="0037775B"/>
    <w:rsid w:val="00381041"/>
    <w:rsid w:val="0039077B"/>
    <w:rsid w:val="003A340E"/>
    <w:rsid w:val="003A5B6D"/>
    <w:rsid w:val="003B098A"/>
    <w:rsid w:val="003D0A77"/>
    <w:rsid w:val="003E7F17"/>
    <w:rsid w:val="003F03A4"/>
    <w:rsid w:val="003F1BE1"/>
    <w:rsid w:val="004013C5"/>
    <w:rsid w:val="00402803"/>
    <w:rsid w:val="004041DD"/>
    <w:rsid w:val="00411C29"/>
    <w:rsid w:val="00414EB0"/>
    <w:rsid w:val="004254F7"/>
    <w:rsid w:val="004258B6"/>
    <w:rsid w:val="00426A85"/>
    <w:rsid w:val="004279DF"/>
    <w:rsid w:val="004322D8"/>
    <w:rsid w:val="00444644"/>
    <w:rsid w:val="00464079"/>
    <w:rsid w:val="00467852"/>
    <w:rsid w:val="004723D4"/>
    <w:rsid w:val="00481A72"/>
    <w:rsid w:val="00482C8A"/>
    <w:rsid w:val="004838BA"/>
    <w:rsid w:val="0049545A"/>
    <w:rsid w:val="004956CC"/>
    <w:rsid w:val="004A2C04"/>
    <w:rsid w:val="004A795E"/>
    <w:rsid w:val="004B18CF"/>
    <w:rsid w:val="004B7CF4"/>
    <w:rsid w:val="004F3AFF"/>
    <w:rsid w:val="00500DC2"/>
    <w:rsid w:val="00506596"/>
    <w:rsid w:val="005072E0"/>
    <w:rsid w:val="005202D1"/>
    <w:rsid w:val="00522DBB"/>
    <w:rsid w:val="00524655"/>
    <w:rsid w:val="00525984"/>
    <w:rsid w:val="00526295"/>
    <w:rsid w:val="005271B9"/>
    <w:rsid w:val="005311E9"/>
    <w:rsid w:val="00531887"/>
    <w:rsid w:val="00532B03"/>
    <w:rsid w:val="00535016"/>
    <w:rsid w:val="00535BFF"/>
    <w:rsid w:val="00541C57"/>
    <w:rsid w:val="00553750"/>
    <w:rsid w:val="00560758"/>
    <w:rsid w:val="0056171D"/>
    <w:rsid w:val="0058173F"/>
    <w:rsid w:val="00592558"/>
    <w:rsid w:val="005935EF"/>
    <w:rsid w:val="00593D6B"/>
    <w:rsid w:val="00594836"/>
    <w:rsid w:val="005968D6"/>
    <w:rsid w:val="005A3768"/>
    <w:rsid w:val="005B1042"/>
    <w:rsid w:val="005B1265"/>
    <w:rsid w:val="005B43D6"/>
    <w:rsid w:val="005E3A15"/>
    <w:rsid w:val="005F4044"/>
    <w:rsid w:val="006528E2"/>
    <w:rsid w:val="006666F0"/>
    <w:rsid w:val="006702A3"/>
    <w:rsid w:val="00674665"/>
    <w:rsid w:val="00687DA0"/>
    <w:rsid w:val="006A0F9E"/>
    <w:rsid w:val="006A2049"/>
    <w:rsid w:val="006A4834"/>
    <w:rsid w:val="006A49B6"/>
    <w:rsid w:val="006B2F37"/>
    <w:rsid w:val="006B4259"/>
    <w:rsid w:val="006B7BFE"/>
    <w:rsid w:val="006C4F06"/>
    <w:rsid w:val="006C4FB4"/>
    <w:rsid w:val="006D62F9"/>
    <w:rsid w:val="006E028A"/>
    <w:rsid w:val="006E3730"/>
    <w:rsid w:val="006F3C74"/>
    <w:rsid w:val="0071582A"/>
    <w:rsid w:val="00723B8F"/>
    <w:rsid w:val="0074322B"/>
    <w:rsid w:val="00743399"/>
    <w:rsid w:val="00760965"/>
    <w:rsid w:val="00760A1B"/>
    <w:rsid w:val="00770D37"/>
    <w:rsid w:val="00772BCF"/>
    <w:rsid w:val="0077559F"/>
    <w:rsid w:val="00776DEB"/>
    <w:rsid w:val="007819DA"/>
    <w:rsid w:val="0078216D"/>
    <w:rsid w:val="00797B16"/>
    <w:rsid w:val="007A1300"/>
    <w:rsid w:val="007A33C0"/>
    <w:rsid w:val="007A6B11"/>
    <w:rsid w:val="007A7057"/>
    <w:rsid w:val="007A7ED7"/>
    <w:rsid w:val="007B110C"/>
    <w:rsid w:val="007B1AEA"/>
    <w:rsid w:val="007C0FA2"/>
    <w:rsid w:val="007C56EB"/>
    <w:rsid w:val="007C6B81"/>
    <w:rsid w:val="007D1012"/>
    <w:rsid w:val="007D44D9"/>
    <w:rsid w:val="007D5DF0"/>
    <w:rsid w:val="007D6127"/>
    <w:rsid w:val="007E3C77"/>
    <w:rsid w:val="007F2F90"/>
    <w:rsid w:val="00813083"/>
    <w:rsid w:val="00823E6B"/>
    <w:rsid w:val="00832AC2"/>
    <w:rsid w:val="008360BB"/>
    <w:rsid w:val="00844CAB"/>
    <w:rsid w:val="008501A3"/>
    <w:rsid w:val="00854C38"/>
    <w:rsid w:val="00855F05"/>
    <w:rsid w:val="008846AB"/>
    <w:rsid w:val="00890451"/>
    <w:rsid w:val="00892C94"/>
    <w:rsid w:val="008A085A"/>
    <w:rsid w:val="008A2DA1"/>
    <w:rsid w:val="008A2F06"/>
    <w:rsid w:val="008A74D9"/>
    <w:rsid w:val="008B573B"/>
    <w:rsid w:val="008C4435"/>
    <w:rsid w:val="008D2C9D"/>
    <w:rsid w:val="008E3348"/>
    <w:rsid w:val="008E38AE"/>
    <w:rsid w:val="008E67DD"/>
    <w:rsid w:val="008F136A"/>
    <w:rsid w:val="008F6C5D"/>
    <w:rsid w:val="008F74DB"/>
    <w:rsid w:val="00916620"/>
    <w:rsid w:val="009245A0"/>
    <w:rsid w:val="00927241"/>
    <w:rsid w:val="00927F48"/>
    <w:rsid w:val="009351CA"/>
    <w:rsid w:val="00940570"/>
    <w:rsid w:val="009405FF"/>
    <w:rsid w:val="009473BD"/>
    <w:rsid w:val="00952474"/>
    <w:rsid w:val="009552EE"/>
    <w:rsid w:val="00963ADA"/>
    <w:rsid w:val="009711C8"/>
    <w:rsid w:val="00981429"/>
    <w:rsid w:val="00990D10"/>
    <w:rsid w:val="00993905"/>
    <w:rsid w:val="00996D55"/>
    <w:rsid w:val="009A3046"/>
    <w:rsid w:val="009A36A2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85C"/>
    <w:rsid w:val="009F14DF"/>
    <w:rsid w:val="00A13618"/>
    <w:rsid w:val="00A15D7A"/>
    <w:rsid w:val="00A24271"/>
    <w:rsid w:val="00A30EBB"/>
    <w:rsid w:val="00A40200"/>
    <w:rsid w:val="00A42972"/>
    <w:rsid w:val="00A44331"/>
    <w:rsid w:val="00A478BB"/>
    <w:rsid w:val="00A53A77"/>
    <w:rsid w:val="00A71936"/>
    <w:rsid w:val="00A73E35"/>
    <w:rsid w:val="00A767C7"/>
    <w:rsid w:val="00A807A5"/>
    <w:rsid w:val="00A9041F"/>
    <w:rsid w:val="00A91465"/>
    <w:rsid w:val="00A93258"/>
    <w:rsid w:val="00AA03B6"/>
    <w:rsid w:val="00AB3CE7"/>
    <w:rsid w:val="00AB4828"/>
    <w:rsid w:val="00AB48C2"/>
    <w:rsid w:val="00AC16FD"/>
    <w:rsid w:val="00AC189C"/>
    <w:rsid w:val="00AC3607"/>
    <w:rsid w:val="00AC5AD5"/>
    <w:rsid w:val="00AF1326"/>
    <w:rsid w:val="00AF316E"/>
    <w:rsid w:val="00B0092B"/>
    <w:rsid w:val="00B02EDA"/>
    <w:rsid w:val="00B042F1"/>
    <w:rsid w:val="00B07732"/>
    <w:rsid w:val="00B16AA9"/>
    <w:rsid w:val="00B173FC"/>
    <w:rsid w:val="00B20CCC"/>
    <w:rsid w:val="00B2437A"/>
    <w:rsid w:val="00B33388"/>
    <w:rsid w:val="00B36249"/>
    <w:rsid w:val="00B44745"/>
    <w:rsid w:val="00B56C23"/>
    <w:rsid w:val="00B774F1"/>
    <w:rsid w:val="00BA0EB8"/>
    <w:rsid w:val="00BB0E16"/>
    <w:rsid w:val="00BB1F50"/>
    <w:rsid w:val="00BC1D15"/>
    <w:rsid w:val="00BC2530"/>
    <w:rsid w:val="00BC5820"/>
    <w:rsid w:val="00BD4472"/>
    <w:rsid w:val="00BE6445"/>
    <w:rsid w:val="00BE735E"/>
    <w:rsid w:val="00BF1987"/>
    <w:rsid w:val="00BF2C33"/>
    <w:rsid w:val="00BF4F89"/>
    <w:rsid w:val="00BF76D8"/>
    <w:rsid w:val="00C01CC9"/>
    <w:rsid w:val="00C14FE7"/>
    <w:rsid w:val="00C162BB"/>
    <w:rsid w:val="00C21578"/>
    <w:rsid w:val="00C23F84"/>
    <w:rsid w:val="00C313D5"/>
    <w:rsid w:val="00C34110"/>
    <w:rsid w:val="00C409C5"/>
    <w:rsid w:val="00C40DCD"/>
    <w:rsid w:val="00C47151"/>
    <w:rsid w:val="00C63F9B"/>
    <w:rsid w:val="00C71841"/>
    <w:rsid w:val="00C74B20"/>
    <w:rsid w:val="00C82CB7"/>
    <w:rsid w:val="00C8423B"/>
    <w:rsid w:val="00C9489D"/>
    <w:rsid w:val="00CA4186"/>
    <w:rsid w:val="00CA7083"/>
    <w:rsid w:val="00CA7D97"/>
    <w:rsid w:val="00CB120B"/>
    <w:rsid w:val="00CB12FE"/>
    <w:rsid w:val="00CC0BD7"/>
    <w:rsid w:val="00CD3CAA"/>
    <w:rsid w:val="00CD57E8"/>
    <w:rsid w:val="00CF2AF8"/>
    <w:rsid w:val="00D0586B"/>
    <w:rsid w:val="00D14472"/>
    <w:rsid w:val="00D202B3"/>
    <w:rsid w:val="00D332C8"/>
    <w:rsid w:val="00D42F62"/>
    <w:rsid w:val="00D5095E"/>
    <w:rsid w:val="00D527C4"/>
    <w:rsid w:val="00D545BE"/>
    <w:rsid w:val="00D57273"/>
    <w:rsid w:val="00D62E92"/>
    <w:rsid w:val="00D714FD"/>
    <w:rsid w:val="00D751D9"/>
    <w:rsid w:val="00D763C2"/>
    <w:rsid w:val="00D82C84"/>
    <w:rsid w:val="00D86365"/>
    <w:rsid w:val="00D95433"/>
    <w:rsid w:val="00D96BED"/>
    <w:rsid w:val="00DA0732"/>
    <w:rsid w:val="00DA45B2"/>
    <w:rsid w:val="00DB0E9D"/>
    <w:rsid w:val="00DD1D5D"/>
    <w:rsid w:val="00DD56E9"/>
    <w:rsid w:val="00DD5AA9"/>
    <w:rsid w:val="00DE0121"/>
    <w:rsid w:val="00DE34E2"/>
    <w:rsid w:val="00DE5B3F"/>
    <w:rsid w:val="00DE6D82"/>
    <w:rsid w:val="00DF2F2E"/>
    <w:rsid w:val="00DF5105"/>
    <w:rsid w:val="00DF79FE"/>
    <w:rsid w:val="00DF7EAE"/>
    <w:rsid w:val="00E13676"/>
    <w:rsid w:val="00E22B3E"/>
    <w:rsid w:val="00E33EB1"/>
    <w:rsid w:val="00E40E4E"/>
    <w:rsid w:val="00E54387"/>
    <w:rsid w:val="00E57155"/>
    <w:rsid w:val="00E60BD2"/>
    <w:rsid w:val="00E64EDA"/>
    <w:rsid w:val="00E659D6"/>
    <w:rsid w:val="00E822B8"/>
    <w:rsid w:val="00E96C12"/>
    <w:rsid w:val="00EA5D07"/>
    <w:rsid w:val="00EA754A"/>
    <w:rsid w:val="00EB059A"/>
    <w:rsid w:val="00EB235B"/>
    <w:rsid w:val="00EB2997"/>
    <w:rsid w:val="00EB71A1"/>
    <w:rsid w:val="00EC17C3"/>
    <w:rsid w:val="00EC50F5"/>
    <w:rsid w:val="00ED195D"/>
    <w:rsid w:val="00ED59B7"/>
    <w:rsid w:val="00EE05E1"/>
    <w:rsid w:val="00F03175"/>
    <w:rsid w:val="00F0607F"/>
    <w:rsid w:val="00F17A19"/>
    <w:rsid w:val="00F23362"/>
    <w:rsid w:val="00F32633"/>
    <w:rsid w:val="00F326F4"/>
    <w:rsid w:val="00F37410"/>
    <w:rsid w:val="00F402E6"/>
    <w:rsid w:val="00F40C70"/>
    <w:rsid w:val="00F52B11"/>
    <w:rsid w:val="00F63202"/>
    <w:rsid w:val="00F65F3E"/>
    <w:rsid w:val="00F76A6E"/>
    <w:rsid w:val="00F76B62"/>
    <w:rsid w:val="00F82C26"/>
    <w:rsid w:val="00F87333"/>
    <w:rsid w:val="00F878A1"/>
    <w:rsid w:val="00F87ACF"/>
    <w:rsid w:val="00F97427"/>
    <w:rsid w:val="00FA0966"/>
    <w:rsid w:val="00FA1AF1"/>
    <w:rsid w:val="00FA269D"/>
    <w:rsid w:val="00FA322A"/>
    <w:rsid w:val="00FB35D3"/>
    <w:rsid w:val="00FC1115"/>
    <w:rsid w:val="00FD0918"/>
    <w:rsid w:val="00FE5607"/>
    <w:rsid w:val="00FE5D18"/>
    <w:rsid w:val="00FF3166"/>
    <w:rsid w:val="00FF3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617622"/>
  <w15:docId w15:val="{63B59DB6-779B-440D-8603-79A2659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styleId="ListTable3-Accent1">
    <w:name w:val="List Table 3 Accent 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52936-A0A6-4F03-99E2-D632C7091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1259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Aleksandra Pavlovic</cp:lastModifiedBy>
  <cp:revision>125</cp:revision>
  <cp:lastPrinted>2019-01-11T10:56:00Z</cp:lastPrinted>
  <dcterms:created xsi:type="dcterms:W3CDTF">2016-09-22T06:10:00Z</dcterms:created>
  <dcterms:modified xsi:type="dcterms:W3CDTF">2019-12-01T19:32:00Z</dcterms:modified>
</cp:coreProperties>
</file>