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3FB64" w14:textId="77777777" w:rsidR="00365012" w:rsidRPr="00A40200" w:rsidRDefault="00365012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</w:p>
    <w:p w14:paraId="75CFFE45" w14:textId="77777777" w:rsidR="009552EE" w:rsidRPr="009351CA" w:rsidRDefault="009351CA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На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основу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стандардима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за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самовредновање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и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оцењивање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високошколских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установа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(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Службени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гласник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РС,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број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106/06)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складу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Стратегијом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обезбеђења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Природн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о-математичког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факултета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у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Нишу</w:t>
      </w:r>
      <w:proofErr w:type="spellEnd"/>
      <w:r w:rsidR="0033152C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спровођењ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Комисија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обезбеђење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квалитета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Факултета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подноси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следећи</w:t>
      </w:r>
      <w:proofErr w:type="spellEnd"/>
    </w:p>
    <w:p w14:paraId="475AA031" w14:textId="77777777" w:rsidR="009351CA" w:rsidRDefault="009351CA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7AC04CD7" w14:textId="77777777" w:rsidR="00365012" w:rsidRDefault="00365012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3E50DA87" w14:textId="463F3620" w:rsidR="00A478BB" w:rsidRDefault="00A478BB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 w:rsidRPr="00BC5820"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  <w:t>И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звештај</w:t>
      </w:r>
      <w:proofErr w:type="spellEnd"/>
      <w:r w:rsidR="00A93258">
        <w:rPr>
          <w:rFonts w:ascii="Times New Roman" w:hAnsi="Times New Roman"/>
          <w:b/>
          <w:color w:val="1F4E79"/>
          <w:sz w:val="32"/>
          <w:szCs w:val="32"/>
        </w:rPr>
        <w:t xml:space="preserve"> 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 xml:space="preserve">о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рез</w:t>
      </w:r>
      <w:r w:rsidRPr="00BC5820">
        <w:rPr>
          <w:rFonts w:ascii="Times New Roman" w:hAnsi="Times New Roman"/>
          <w:b/>
          <w:color w:val="1F4E79"/>
          <w:spacing w:val="2"/>
          <w:sz w:val="32"/>
          <w:szCs w:val="32"/>
        </w:rPr>
        <w:t>у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лтатима</w:t>
      </w:r>
      <w:proofErr w:type="spellEnd"/>
      <w:r w:rsidRPr="00BC5820">
        <w:rPr>
          <w:rFonts w:ascii="Times New Roman" w:hAnsi="Times New Roman"/>
          <w:b/>
          <w:color w:val="1F4E79"/>
          <w:spacing w:val="-11"/>
          <w:sz w:val="32"/>
          <w:szCs w:val="32"/>
        </w:rPr>
        <w:t xml:space="preserve">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анкетирања</w:t>
      </w:r>
      <w:proofErr w:type="spellEnd"/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студената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, наставника и сарадника </w:t>
      </w:r>
      <w:r w:rsidR="00D53F9C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студијског програма </w:t>
      </w:r>
      <w:r w:rsidR="00D067DA">
        <w:rPr>
          <w:rFonts w:ascii="Times New Roman" w:hAnsi="Times New Roman"/>
          <w:b/>
          <w:color w:val="1F4E79"/>
          <w:sz w:val="32"/>
          <w:szCs w:val="32"/>
          <w:lang w:val="sr-Cyrl-RS"/>
        </w:rPr>
        <w:t>Примењена х</w:t>
      </w:r>
      <w:r w:rsidR="00D53F9C">
        <w:rPr>
          <w:rFonts w:ascii="Times New Roman" w:hAnsi="Times New Roman"/>
          <w:b/>
          <w:color w:val="1F4E79"/>
          <w:sz w:val="32"/>
          <w:szCs w:val="32"/>
          <w:lang w:val="sr-Cyrl-RS"/>
        </w:rPr>
        <w:t>емија на мастер академским студијама (МАС</w:t>
      </w:r>
      <w:r w:rsidR="00D067DA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Примењена хемија</w:t>
      </w:r>
      <w:r w:rsidR="00D53F9C">
        <w:rPr>
          <w:rFonts w:ascii="Times New Roman" w:hAnsi="Times New Roman"/>
          <w:b/>
          <w:color w:val="1F4E79"/>
          <w:sz w:val="32"/>
          <w:szCs w:val="32"/>
          <w:lang w:val="sr-Cyrl-RS"/>
        </w:rPr>
        <w:t>)</w:t>
      </w:r>
      <w:r w:rsidR="00D067DA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D53F9C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на Департману за хемију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Природно-математичког факултета</w:t>
      </w:r>
      <w:r w:rsidR="001E2C0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у Нишу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br/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з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а </w:t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период</w:t>
      </w:r>
      <w:r w:rsidR="000C0C06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0C0C06"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зимски</w:t>
      </w:r>
      <w:r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 xml:space="preserve"> 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семестар 201</w:t>
      </w:r>
      <w:r w:rsidR="00160D3F">
        <w:rPr>
          <w:rFonts w:ascii="Times New Roman" w:hAnsi="Times New Roman"/>
          <w:b/>
          <w:color w:val="1F4E79"/>
          <w:sz w:val="32"/>
          <w:szCs w:val="32"/>
          <w:u w:val="single"/>
        </w:rPr>
        <w:t>7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/1</w:t>
      </w:r>
      <w:r w:rsidR="00160D3F">
        <w:rPr>
          <w:rFonts w:ascii="Times New Roman" w:hAnsi="Times New Roman"/>
          <w:b/>
          <w:color w:val="1F4E79"/>
          <w:sz w:val="32"/>
          <w:szCs w:val="32"/>
          <w:u w:val="single"/>
        </w:rPr>
        <w:t>8</w:t>
      </w: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</w:p>
    <w:p w14:paraId="3EDC41CA" w14:textId="77777777" w:rsidR="00A93258" w:rsidRDefault="00A93258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39A4EB6B" w14:textId="020C32AF" w:rsidR="005A2B72" w:rsidRDefault="005A2B72" w:rsidP="005A2B72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наставника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обављено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периоду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: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08. МАРТА 2018. до 10. АПРИЛА 2018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Анкетом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вредно</w:t>
      </w:r>
      <w:r>
        <w:rPr>
          <w:rFonts w:ascii="Times New Roman" w:hAnsi="Times New Roman"/>
          <w:bCs/>
          <w:color w:val="1F4E79"/>
          <w:spacing w:val="4"/>
          <w:szCs w:val="24"/>
        </w:rPr>
        <w:t>вана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реализација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наставе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током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зимског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семестра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8.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као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процес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оцењивања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току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јануарско-фебруарског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испитног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рока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односно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обухваћен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период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рада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1.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октобра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</w:rPr>
        <w:t>20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фебруара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Систем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био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доступан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Pr="00A93258">
        <w:rPr>
          <w:rFonts w:ascii="Times New Roman" w:hAnsi="Times New Roman"/>
          <w:bCs/>
          <w:i/>
          <w:color w:val="1F4E79"/>
          <w:spacing w:val="4"/>
          <w:szCs w:val="24"/>
        </w:rPr>
        <w:t>online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преко апликације студентског портала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.</w:t>
      </w:r>
    </w:p>
    <w:p w14:paraId="29011ADF" w14:textId="77777777" w:rsidR="00D067DA" w:rsidRPr="00EB235B" w:rsidRDefault="00D067DA" w:rsidP="005A2B72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06E84C34" w14:textId="77777777" w:rsidR="005A2B72" w:rsidRPr="00365012" w:rsidRDefault="005A2B72" w:rsidP="005A2B72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Просечна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излазност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МАС на нивоу Департмана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износи 61,11% (33 студената је попунило анкетне упитнике од укупно 54 студента који су могли да учествују у анкетирању). Имајући у виду да је просечна излазност изнад 30%, може се сматрати да је </w:t>
      </w:r>
      <w:r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анкета репрезентативна на нивоу </w:t>
      </w:r>
      <w:r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Департман</w:t>
      </w:r>
      <w:r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 и да се може користити за оцену квалитета рада </w:t>
      </w:r>
      <w:r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Департмана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. </w:t>
      </w:r>
    </w:p>
    <w:p w14:paraId="18C022B0" w14:textId="77777777" w:rsidR="005A2B72" w:rsidRDefault="005A2B72" w:rsidP="005A2B72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1DFF6B78" w14:textId="77777777" w:rsidR="005A2B72" w:rsidRPr="00DE6D82" w:rsidRDefault="005A2B72" w:rsidP="005A2B72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Увидом о излазности студената на анкету</w:t>
      </w:r>
      <w:r w:rsidRPr="00DE6D82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Департман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а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за хемију, можемо закључити да је анкетираност у току зимског семестра 2017/18. године била боља у односу на летњи семестар 2016/17. Очигледно је да су студенти били мотивисанији и боље информисани о важности оваквог анкетирања. Поред редовних активности студената, које свакако нису мале, морамо их у наредним годинама додатно мотивисати да у већој мери дају своје реално мишљење о настави и раду на Департману за хемију, што је од суштинског значаја за побољшање квалитета наставе.</w:t>
      </w:r>
    </w:p>
    <w:p w14:paraId="2EB7CD2D" w14:textId="28C12459" w:rsidR="009F14DF" w:rsidRDefault="009F14DF" w:rsidP="00365012">
      <w:pPr>
        <w:ind w:firstLine="0"/>
        <w:jc w:val="center"/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</w:pPr>
    </w:p>
    <w:p w14:paraId="0571C7A0" w14:textId="2A70B8CE" w:rsidR="005A2B72" w:rsidRDefault="005A2B72" w:rsidP="005A2B72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Укупн</w:t>
      </w:r>
      <w:r>
        <w:rPr>
          <w:rFonts w:ascii="Times New Roman" w:hAnsi="Times New Roman"/>
          <w:bCs/>
          <w:color w:val="1F4E79"/>
          <w:spacing w:val="4"/>
          <w:szCs w:val="24"/>
        </w:rPr>
        <w:t>e</w:t>
      </w:r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просечн</w:t>
      </w:r>
      <w:r>
        <w:rPr>
          <w:rFonts w:ascii="Times New Roman" w:hAnsi="Times New Roman"/>
          <w:bCs/>
          <w:color w:val="1F4E79"/>
          <w:spacing w:val="4"/>
          <w:szCs w:val="24"/>
        </w:rPr>
        <w:t>e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оцен</w:t>
      </w:r>
      <w:r>
        <w:rPr>
          <w:rFonts w:ascii="Times New Roman" w:hAnsi="Times New Roman"/>
          <w:bCs/>
          <w:color w:val="1F4E79"/>
          <w:spacing w:val="4"/>
          <w:szCs w:val="24"/>
        </w:rPr>
        <w:t>e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наставника и сарадника на Департману за хемију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,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врсти студија и студијског програма дате су у табели 1.</w:t>
      </w:r>
    </w:p>
    <w:p w14:paraId="416E6E82" w14:textId="77777777" w:rsidR="00D067DA" w:rsidRDefault="00D067DA" w:rsidP="005A2B72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7903F021" w14:textId="4492497E" w:rsidR="005A2B72" w:rsidRDefault="005A2B72" w:rsidP="005A2B72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Ниједан сарадник на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Департману за хемију 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нема просечну оцену мању од 3,00. </w:t>
      </w:r>
    </w:p>
    <w:p w14:paraId="3B1A3F90" w14:textId="77777777" w:rsidR="00D067DA" w:rsidRDefault="00D067DA" w:rsidP="005A2B72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27202C3C" w14:textId="1AB462D0" w:rsidR="005A2B72" w:rsidRPr="004279DF" w:rsidRDefault="005A2B72" w:rsidP="005A2B72">
      <w:pPr>
        <w:ind w:firstLine="0"/>
        <w:rPr>
          <w:lang w:val="sr-Cyrl-RS"/>
        </w:rPr>
      </w:pP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Декан, у складу са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равилник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ом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спровођењу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електронског 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анкет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ирања</w:t>
      </w:r>
      <w:r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на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При</w:t>
      </w:r>
      <w:r>
        <w:rPr>
          <w:rFonts w:ascii="Times New Roman" w:hAnsi="Times New Roman"/>
          <w:bCs/>
          <w:i/>
          <w:color w:val="1F4E79"/>
          <w:spacing w:val="4"/>
          <w:szCs w:val="24"/>
          <w:lang w:val="sr-Latn-RS"/>
        </w:rPr>
        <w:softHyphen/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родно-математичком факултету у Нишу, 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обавља разговор са наставницима који имају просечну оцену мању од 3</w:t>
      </w:r>
      <w:r w:rsidR="00DC467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bookmarkStart w:id="0" w:name="_GoBack"/>
      <w:bookmarkEnd w:id="0"/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00 о проблемима у реализацији наставе и добијеној оцени за зимски семестар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</w:p>
    <w:p w14:paraId="41D58AB7" w14:textId="05D36897" w:rsidR="00E54387" w:rsidRDefault="00E5438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1A602BFE" w14:textId="76847F85" w:rsidR="005A2B72" w:rsidRDefault="005A2B72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541CFFC3" w14:textId="778CABC9" w:rsidR="005A2B72" w:rsidRDefault="005A2B72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6AA736F4" w14:textId="2BF40F13" w:rsidR="005A2B72" w:rsidRDefault="005A2B72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4CF31CF9" w14:textId="25AB6AD4" w:rsidR="005A2B72" w:rsidRDefault="005A2B72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264322A5" w14:textId="77777777" w:rsidR="005A2B72" w:rsidRDefault="005A2B72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32569AFE" w14:textId="77777777" w:rsidR="005A2B72" w:rsidRPr="00D067DA" w:rsidRDefault="005A2B72" w:rsidP="00D067DA">
      <w:pPr>
        <w:spacing w:after="120"/>
        <w:contextualSpacing/>
        <w:rPr>
          <w:rFonts w:ascii="Times New Roman" w:hAnsi="Times New Roman"/>
          <w:b/>
          <w:bCs/>
          <w:color w:val="1F4E79"/>
          <w:lang w:val="sr-Cyrl-RS"/>
        </w:rPr>
      </w:pPr>
      <w:r w:rsidRPr="00D067DA">
        <w:rPr>
          <w:rFonts w:ascii="Times New Roman" w:hAnsi="Times New Roman"/>
          <w:b/>
          <w:bCs/>
          <w:color w:val="1F4E79"/>
          <w:lang w:val="sr-Cyrl-RS"/>
        </w:rPr>
        <w:t>Табела 1. Укупне просечне оцене наставника и сарадника, врсти студија и студијског програма</w:t>
      </w:r>
    </w:p>
    <w:p w14:paraId="3F84C0B0" w14:textId="77777777" w:rsidR="005A2B72" w:rsidRDefault="005A2B72" w:rsidP="005A2B72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tbl>
      <w:tblPr>
        <w:tblStyle w:val="TableGrid"/>
        <w:tblW w:w="8622" w:type="dxa"/>
        <w:jc w:val="center"/>
        <w:tblLook w:val="04A0" w:firstRow="1" w:lastRow="0" w:firstColumn="1" w:lastColumn="0" w:noHBand="0" w:noVBand="1"/>
      </w:tblPr>
      <w:tblGrid>
        <w:gridCol w:w="2859"/>
        <w:gridCol w:w="2375"/>
        <w:gridCol w:w="3388"/>
      </w:tblGrid>
      <w:tr w:rsidR="005A2B72" w14:paraId="4087C479" w14:textId="77777777" w:rsidTr="00D067DA">
        <w:trPr>
          <w:trHeight w:val="1257"/>
          <w:jc w:val="center"/>
        </w:trPr>
        <w:tc>
          <w:tcPr>
            <w:tcW w:w="2859" w:type="dxa"/>
          </w:tcPr>
          <w:p w14:paraId="62E1058A" w14:textId="77777777" w:rsidR="005A2B72" w:rsidRDefault="005A2B72" w:rsidP="00CB266E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Просечна оцена Департмана</w:t>
            </w:r>
          </w:p>
        </w:tc>
        <w:tc>
          <w:tcPr>
            <w:tcW w:w="2375" w:type="dxa"/>
          </w:tcPr>
          <w:p w14:paraId="6D9E64A8" w14:textId="77777777" w:rsidR="005A2B72" w:rsidRDefault="005A2B72" w:rsidP="00CB266E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Просечна оцена МАС</w:t>
            </w:r>
          </w:p>
        </w:tc>
        <w:tc>
          <w:tcPr>
            <w:tcW w:w="3388" w:type="dxa"/>
          </w:tcPr>
          <w:p w14:paraId="708885F4" w14:textId="167C1DF8" w:rsidR="005A2B72" w:rsidRDefault="005A2B72" w:rsidP="00CB266E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 xml:space="preserve">Просечна оцена  студијског програма МАС </w:t>
            </w:r>
            <w:r w:rsidR="00D067DA"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Примењена х</w:t>
            </w: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емија 2014</w:t>
            </w:r>
          </w:p>
        </w:tc>
      </w:tr>
      <w:tr w:rsidR="005A2B72" w14:paraId="3F241F99" w14:textId="77777777" w:rsidTr="00D067DA">
        <w:trPr>
          <w:trHeight w:val="412"/>
          <w:jc w:val="center"/>
        </w:trPr>
        <w:tc>
          <w:tcPr>
            <w:tcW w:w="2859" w:type="dxa"/>
          </w:tcPr>
          <w:p w14:paraId="33891FEA" w14:textId="1FC204BF" w:rsidR="005A2B72" w:rsidRDefault="005A2B72" w:rsidP="00CB266E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</w:t>
            </w:r>
            <w:r w:rsidR="00DC467A"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34</w:t>
            </w:r>
          </w:p>
        </w:tc>
        <w:tc>
          <w:tcPr>
            <w:tcW w:w="2375" w:type="dxa"/>
          </w:tcPr>
          <w:p w14:paraId="2E9A1233" w14:textId="4518AD46" w:rsidR="005A2B72" w:rsidRDefault="005A2B72" w:rsidP="00CB266E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</w:t>
            </w:r>
            <w:r w:rsidR="00DC467A"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49</w:t>
            </w:r>
          </w:p>
        </w:tc>
        <w:tc>
          <w:tcPr>
            <w:tcW w:w="3388" w:type="dxa"/>
          </w:tcPr>
          <w:p w14:paraId="67B8FF39" w14:textId="75580FF1" w:rsidR="005A2B72" w:rsidRDefault="005A2B72" w:rsidP="00CB266E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</w:t>
            </w:r>
            <w:r w:rsidR="00DC467A"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47</w:t>
            </w:r>
          </w:p>
        </w:tc>
      </w:tr>
    </w:tbl>
    <w:p w14:paraId="67DD0E04" w14:textId="77777777" w:rsidR="005A2B72" w:rsidRDefault="005A2B72" w:rsidP="005A2B72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266F9CB3" w14:textId="77777777" w:rsidR="005A2B72" w:rsidRDefault="005A2B72" w:rsidP="005A2B72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22DB526D" w14:textId="5D595BE5" w:rsidR="005A2B72" w:rsidRDefault="005A2B72" w:rsidP="005A2B72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bookmarkStart w:id="1" w:name="_Hlk26030456"/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Према подацима добијеним анкетом, студијски програм 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М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АС</w:t>
      </w:r>
      <w:r w:rsidR="00DC467A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  <w:r w:rsidR="00D067DA">
        <w:rPr>
          <w:rFonts w:ascii="Times New Roman" w:hAnsi="Times New Roman" w:cs="Times New Roman"/>
          <w:bCs/>
          <w:spacing w:val="4"/>
          <w:szCs w:val="24"/>
          <w:lang w:val="sr-Cyrl-RS"/>
        </w:rPr>
        <w:t>П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римењена 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хемија 2014 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је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оцењен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висок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ом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оцен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ом, као и оцена врсте студија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. Требало би напоменути да сходно великом броју анкетираних студената, ове оцене могу да прикажу једну реалну слику квалитета рада  на Департману за хемију. </w:t>
      </w:r>
    </w:p>
    <w:bookmarkEnd w:id="1"/>
    <w:p w14:paraId="52F5D971" w14:textId="77777777" w:rsidR="005A2B72" w:rsidRDefault="005A2B72" w:rsidP="005A2B7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3CA3A695" w14:textId="77777777" w:rsidR="005A2B72" w:rsidRPr="005242EF" w:rsidRDefault="005A2B72" w:rsidP="005A2B72">
      <w:pPr>
        <w:ind w:firstLine="0"/>
        <w:jc w:val="left"/>
        <w:rPr>
          <w:rFonts w:ascii="Times New Roman" w:hAnsi="Times New Roman" w:cs="Times New Roman"/>
          <w:bCs/>
          <w:spacing w:val="3"/>
          <w:szCs w:val="24"/>
          <w:lang w:val="sr-Cyrl-RS"/>
        </w:rPr>
      </w:pP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>Наниже у табелама су дати резултати</w:t>
      </w:r>
      <w:r>
        <w:rPr>
          <w:rFonts w:ascii="Times New Roman" w:hAnsi="Times New Roman" w:cs="Times New Roman"/>
          <w:bCs/>
          <w:spacing w:val="3"/>
          <w:szCs w:val="24"/>
          <w:lang w:val="sr-Cyrl-RS"/>
        </w:rPr>
        <w:t xml:space="preserve"> </w:t>
      </w: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>вреднова</w:t>
      </w:r>
      <w:r>
        <w:rPr>
          <w:rFonts w:ascii="Times New Roman" w:hAnsi="Times New Roman" w:cs="Times New Roman"/>
          <w:bCs/>
          <w:spacing w:val="3"/>
          <w:szCs w:val="24"/>
          <w:lang w:val="sr-Cyrl-RS"/>
        </w:rPr>
        <w:t>њ</w:t>
      </w: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 xml:space="preserve">а стандарда квалитета установе </w:t>
      </w:r>
      <w:r>
        <w:rPr>
          <w:rFonts w:ascii="Times New Roman" w:hAnsi="Times New Roman" w:cs="Times New Roman"/>
          <w:bCs/>
          <w:spacing w:val="3"/>
          <w:szCs w:val="24"/>
          <w:lang w:val="sr-Cyrl-RS"/>
        </w:rPr>
        <w:t xml:space="preserve">оцењених од стране наставника и сарадника </w:t>
      </w: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 xml:space="preserve">и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вредновања</w:t>
      </w:r>
      <w:proofErr w:type="spellEnd"/>
      <w:r w:rsidRPr="005242EF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квалитета</w:t>
      </w:r>
      <w:proofErr w:type="spellEnd"/>
      <w:r w:rsidRPr="005242EF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наставног</w:t>
      </w:r>
      <w:proofErr w:type="spellEnd"/>
      <w:r w:rsidRPr="005242EF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процеса</w:t>
      </w:r>
      <w:proofErr w:type="spellEnd"/>
      <w:r w:rsidRPr="005242EF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анкетирањем</w:t>
      </w:r>
      <w:proofErr w:type="spellEnd"/>
      <w:r w:rsidRPr="005242EF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студената</w:t>
      </w:r>
      <w:proofErr w:type="spellEnd"/>
      <w:r>
        <w:rPr>
          <w:rFonts w:ascii="Times New Roman" w:hAnsi="Times New Roman" w:cs="Times New Roman"/>
          <w:bCs/>
          <w:szCs w:val="24"/>
          <w:lang w:val="sr-Cyrl-RS"/>
        </w:rPr>
        <w:t>.</w:t>
      </w:r>
    </w:p>
    <w:p w14:paraId="6D3A767F" w14:textId="77777777" w:rsidR="005A2B72" w:rsidRDefault="005A2B72" w:rsidP="005A2B72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7619B376" w14:textId="4000762A" w:rsidR="00760A1B" w:rsidRDefault="00760A1B" w:rsidP="001D4BB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7F1B6C19" w14:textId="25BB7B90" w:rsidR="007A6B11" w:rsidRDefault="007A6B11" w:rsidP="001D4BB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42670F04" w14:textId="6CC208A4" w:rsidR="00593D6B" w:rsidRDefault="00593D6B">
      <w:pPr>
        <w:ind w:firstLine="0"/>
        <w:jc w:val="left"/>
        <w:rPr>
          <w:rFonts w:ascii="Times New Roman" w:hAnsi="Times New Roman"/>
          <w:spacing w:val="3"/>
          <w:lang w:val="sr-Cyrl-CS"/>
        </w:rPr>
      </w:pPr>
    </w:p>
    <w:p w14:paraId="41290D21" w14:textId="5EE9874C" w:rsidR="00526295" w:rsidRDefault="00526295">
      <w:pPr>
        <w:ind w:firstLine="0"/>
        <w:jc w:val="left"/>
        <w:rPr>
          <w:rFonts w:ascii="Times New Roman" w:hAnsi="Times New Roman"/>
          <w:spacing w:val="3"/>
          <w:lang w:val="sr-Cyrl-CS"/>
        </w:rPr>
      </w:pPr>
    </w:p>
    <w:p w14:paraId="3FF8666C" w14:textId="6AD25E2E" w:rsidR="00526295" w:rsidRDefault="00526295">
      <w:pPr>
        <w:ind w:firstLine="0"/>
        <w:jc w:val="left"/>
        <w:rPr>
          <w:rFonts w:ascii="Times New Roman" w:hAnsi="Times New Roman"/>
          <w:spacing w:val="3"/>
          <w:lang w:val="sr-Cyrl-CS"/>
        </w:rPr>
      </w:pPr>
    </w:p>
    <w:p w14:paraId="2C190649" w14:textId="77777777" w:rsidR="005A2B72" w:rsidRDefault="005A2B72" w:rsidP="00A807A5">
      <w:pPr>
        <w:rPr>
          <w:lang w:val="sr-Cyrl-RS"/>
        </w:rPr>
      </w:pPr>
    </w:p>
    <w:p w14:paraId="0C928153" w14:textId="77777777" w:rsidR="005A2B72" w:rsidRDefault="005A2B72" w:rsidP="00A807A5">
      <w:pPr>
        <w:rPr>
          <w:lang w:val="sr-Cyrl-RS"/>
        </w:rPr>
      </w:pPr>
    </w:p>
    <w:p w14:paraId="749D7F17" w14:textId="77777777" w:rsidR="005A2B72" w:rsidRDefault="005A2B72" w:rsidP="00A807A5">
      <w:pPr>
        <w:rPr>
          <w:lang w:val="sr-Cyrl-RS"/>
        </w:rPr>
      </w:pPr>
    </w:p>
    <w:p w14:paraId="76EC7248" w14:textId="77777777" w:rsidR="005A2B72" w:rsidRDefault="005A2B72" w:rsidP="00A807A5">
      <w:pPr>
        <w:rPr>
          <w:lang w:val="sr-Cyrl-RS"/>
        </w:rPr>
      </w:pPr>
    </w:p>
    <w:p w14:paraId="7745ADDB" w14:textId="77777777" w:rsidR="005A2B72" w:rsidRDefault="005A2B72" w:rsidP="00A807A5">
      <w:pPr>
        <w:rPr>
          <w:lang w:val="sr-Cyrl-RS"/>
        </w:rPr>
      </w:pPr>
    </w:p>
    <w:p w14:paraId="6E548E6A" w14:textId="77777777" w:rsidR="005A2B72" w:rsidRDefault="005A2B72" w:rsidP="00A807A5">
      <w:pPr>
        <w:rPr>
          <w:lang w:val="sr-Cyrl-RS"/>
        </w:rPr>
      </w:pPr>
    </w:p>
    <w:p w14:paraId="39E7F86B" w14:textId="77777777" w:rsidR="005A2B72" w:rsidRDefault="005A2B72" w:rsidP="00A807A5">
      <w:pPr>
        <w:rPr>
          <w:lang w:val="sr-Cyrl-RS"/>
        </w:rPr>
      </w:pPr>
    </w:p>
    <w:p w14:paraId="7F468B77" w14:textId="77777777" w:rsidR="005A2B72" w:rsidRDefault="005A2B72" w:rsidP="00A807A5">
      <w:pPr>
        <w:rPr>
          <w:lang w:val="sr-Cyrl-RS"/>
        </w:rPr>
      </w:pPr>
    </w:p>
    <w:p w14:paraId="43273E85" w14:textId="77777777" w:rsidR="005A2B72" w:rsidRDefault="005A2B72" w:rsidP="00A807A5">
      <w:pPr>
        <w:rPr>
          <w:lang w:val="sr-Cyrl-RS"/>
        </w:rPr>
      </w:pPr>
    </w:p>
    <w:p w14:paraId="474151B7" w14:textId="77777777" w:rsidR="005A2B72" w:rsidRDefault="005A2B72" w:rsidP="00A807A5">
      <w:pPr>
        <w:rPr>
          <w:lang w:val="sr-Cyrl-RS"/>
        </w:rPr>
      </w:pPr>
    </w:p>
    <w:p w14:paraId="0A9C2057" w14:textId="77777777" w:rsidR="005A2B72" w:rsidRDefault="005A2B72" w:rsidP="00A807A5">
      <w:pPr>
        <w:rPr>
          <w:lang w:val="sr-Cyrl-RS"/>
        </w:rPr>
      </w:pPr>
    </w:p>
    <w:p w14:paraId="3C8A6D5D" w14:textId="77777777" w:rsidR="005A2B72" w:rsidRDefault="005A2B72" w:rsidP="00A807A5">
      <w:pPr>
        <w:rPr>
          <w:lang w:val="sr-Cyrl-RS"/>
        </w:rPr>
      </w:pPr>
    </w:p>
    <w:p w14:paraId="7AEFD087" w14:textId="77777777" w:rsidR="005A2B72" w:rsidRDefault="005A2B72" w:rsidP="00A807A5">
      <w:pPr>
        <w:rPr>
          <w:lang w:val="sr-Cyrl-RS"/>
        </w:rPr>
      </w:pPr>
    </w:p>
    <w:p w14:paraId="2738280C" w14:textId="77777777" w:rsidR="005A2B72" w:rsidRDefault="005A2B72" w:rsidP="00A807A5">
      <w:pPr>
        <w:rPr>
          <w:lang w:val="sr-Cyrl-RS"/>
        </w:rPr>
      </w:pPr>
    </w:p>
    <w:p w14:paraId="3273E5AD" w14:textId="77777777" w:rsidR="005A2B72" w:rsidRDefault="005A2B72" w:rsidP="00A807A5">
      <w:pPr>
        <w:rPr>
          <w:lang w:val="sr-Cyrl-RS"/>
        </w:rPr>
      </w:pPr>
    </w:p>
    <w:p w14:paraId="428E42A7" w14:textId="77777777" w:rsidR="005A2B72" w:rsidRDefault="005A2B72" w:rsidP="00A807A5">
      <w:pPr>
        <w:rPr>
          <w:lang w:val="sr-Cyrl-RS"/>
        </w:rPr>
      </w:pPr>
    </w:p>
    <w:p w14:paraId="1BEDB1A7" w14:textId="77777777" w:rsidR="005A2B72" w:rsidRDefault="005A2B72" w:rsidP="00A807A5">
      <w:pPr>
        <w:rPr>
          <w:lang w:val="sr-Cyrl-RS"/>
        </w:rPr>
      </w:pPr>
    </w:p>
    <w:p w14:paraId="0CEEA2BE" w14:textId="77777777" w:rsidR="005A2B72" w:rsidRDefault="005A2B72" w:rsidP="00A807A5">
      <w:pPr>
        <w:rPr>
          <w:lang w:val="sr-Cyrl-RS"/>
        </w:rPr>
      </w:pPr>
    </w:p>
    <w:p w14:paraId="4840D1EC" w14:textId="77777777" w:rsidR="005A2B72" w:rsidRDefault="005A2B72" w:rsidP="00A807A5">
      <w:pPr>
        <w:rPr>
          <w:lang w:val="sr-Cyrl-RS"/>
        </w:rPr>
      </w:pPr>
    </w:p>
    <w:p w14:paraId="289A4639" w14:textId="77777777" w:rsidR="005A2B72" w:rsidRDefault="005A2B72" w:rsidP="00A807A5">
      <w:pPr>
        <w:rPr>
          <w:lang w:val="sr-Cyrl-RS"/>
        </w:rPr>
      </w:pPr>
    </w:p>
    <w:p w14:paraId="1B834517" w14:textId="77777777" w:rsidR="005A2B72" w:rsidRDefault="005A2B72" w:rsidP="00A807A5">
      <w:pPr>
        <w:rPr>
          <w:lang w:val="sr-Cyrl-RS"/>
        </w:rPr>
      </w:pPr>
    </w:p>
    <w:p w14:paraId="5855EF56" w14:textId="77777777" w:rsidR="005A2B72" w:rsidRDefault="005A2B72" w:rsidP="00A807A5">
      <w:pPr>
        <w:rPr>
          <w:lang w:val="sr-Cyrl-RS"/>
        </w:rPr>
      </w:pPr>
    </w:p>
    <w:p w14:paraId="33CCFFC2" w14:textId="3095E546" w:rsidR="006A0F9E" w:rsidRPr="00D067DA" w:rsidRDefault="006A0F9E" w:rsidP="00D067DA">
      <w:pPr>
        <w:ind w:firstLine="0"/>
        <w:rPr>
          <w:lang w:val="sr-Cyrl-RS"/>
        </w:rPr>
      </w:pPr>
    </w:p>
    <w:p w14:paraId="32674D89" w14:textId="25C8E30B" w:rsidR="006B2F37" w:rsidRDefault="003F1BE1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  <w:lang w:val="sr-Cyrl-RS"/>
        </w:rPr>
      </w:pPr>
      <w:r w:rsidRPr="001D3B0F">
        <w:rPr>
          <w:rFonts w:ascii="Times New Roman" w:hAnsi="Times New Roman"/>
          <w:b/>
          <w:color w:val="1F497D" w:themeColor="text2"/>
          <w:spacing w:val="3"/>
        </w:rPr>
        <w:lastRenderedPageBreak/>
        <w:t xml:space="preserve">РЕЗУЛТАТИ ВРЕДНОВАЊА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 xml:space="preserve">СТАНДАРДА 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КВАЛИТЕТА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УСТАНОВЕ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 </w:t>
      </w:r>
      <w:r>
        <w:rPr>
          <w:rFonts w:ascii="Times New Roman" w:hAnsi="Times New Roman"/>
          <w:b/>
          <w:color w:val="1F497D" w:themeColor="text2"/>
          <w:spacing w:val="3"/>
        </w:rPr>
        <w:br/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ОЦЕЊЕНИХ ОД СТРАНЕ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НАСТАВНИКА И САРАДНИКА</w:t>
      </w:r>
    </w:p>
    <w:p w14:paraId="26BAF4F7" w14:textId="77777777" w:rsidR="006A0F9E" w:rsidRPr="006B2F37" w:rsidRDefault="006A0F9E" w:rsidP="006B2F37">
      <w:pPr>
        <w:ind w:firstLine="0"/>
        <w:jc w:val="center"/>
        <w:rPr>
          <w:rFonts w:ascii="Times New Roman" w:hAnsi="Times New Roman"/>
          <w:color w:val="1F497D" w:themeColor="text2"/>
          <w:spacing w:val="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1121"/>
      </w:tblGrid>
      <w:tr w:rsidR="006A0F9E" w:rsidRPr="00F0607F" w14:paraId="4A5491C4" w14:textId="77777777" w:rsidTr="006A0F9E">
        <w:trPr>
          <w:trHeight w:val="293"/>
        </w:trPr>
        <w:tc>
          <w:tcPr>
            <w:tcW w:w="8500" w:type="dxa"/>
            <w:vMerge w:val="restart"/>
            <w:noWrap/>
            <w:hideMark/>
          </w:tcPr>
          <w:p w14:paraId="42CFDDF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proofErr w:type="spellStart"/>
            <w:r w:rsidRPr="00F0607F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Питање</w:t>
            </w:r>
            <w:proofErr w:type="spellEnd"/>
          </w:p>
        </w:tc>
        <w:tc>
          <w:tcPr>
            <w:tcW w:w="1121" w:type="dxa"/>
            <w:vMerge w:val="restart"/>
            <w:noWrap/>
            <w:hideMark/>
          </w:tcPr>
          <w:p w14:paraId="3B83CCC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proofErr w:type="spellStart"/>
            <w:r w:rsidRPr="00F0607F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Просек</w:t>
            </w:r>
            <w:proofErr w:type="spellEnd"/>
          </w:p>
        </w:tc>
      </w:tr>
      <w:tr w:rsidR="006A0F9E" w:rsidRPr="00F0607F" w14:paraId="755FC5E8" w14:textId="77777777" w:rsidTr="006A0F9E">
        <w:trPr>
          <w:trHeight w:val="293"/>
        </w:trPr>
        <w:tc>
          <w:tcPr>
            <w:tcW w:w="8500" w:type="dxa"/>
            <w:vMerge/>
            <w:hideMark/>
          </w:tcPr>
          <w:p w14:paraId="2968D60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14:paraId="35E6E15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</w:p>
        </w:tc>
      </w:tr>
      <w:tr w:rsidR="006A0F9E" w:rsidRPr="00F0607F" w14:paraId="5D6CD306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638466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примењује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одговарајуће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стандарде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поступке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7F281D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7CD59F8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32E881E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изграђену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организациону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структуру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CCCEE1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7BFBB3EA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2A569F7E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3.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Систем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58317253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25C6BF3C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0232091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4.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опремљена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бројем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библиотечких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јединица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одговарајућом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НИР-а.</w:t>
            </w:r>
          </w:p>
        </w:tc>
        <w:tc>
          <w:tcPr>
            <w:tcW w:w="1121" w:type="dxa"/>
            <w:noWrap/>
            <w:hideMark/>
          </w:tcPr>
          <w:p w14:paraId="5492FB7D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7E990FB2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54A31C9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5.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08CA4C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4.8</w:t>
            </w:r>
          </w:p>
        </w:tc>
      </w:tr>
      <w:tr w:rsidR="006A0F9E" w:rsidRPr="00F0607F" w14:paraId="6D27044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50FC1779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6.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Доступне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базе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података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интернет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сервиси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библиотеци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21D67E1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3B83C307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0CDC9E45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7.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Опремљеност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информатичком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06B07BA3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4.1</w:t>
            </w:r>
          </w:p>
        </w:tc>
      </w:tr>
      <w:tr w:rsidR="006A0F9E" w:rsidRPr="00F0607F" w14:paraId="47849FCA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48DDC0D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8.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Сајт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пружа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информације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F93939"/>
            <w:noWrap/>
            <w:hideMark/>
          </w:tcPr>
          <w:p w14:paraId="7E3B645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3.9</w:t>
            </w:r>
          </w:p>
        </w:tc>
      </w:tr>
      <w:tr w:rsidR="006A0F9E" w:rsidRPr="00F0607F" w14:paraId="34FAB052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45F2E7E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9.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Рачунарског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центра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C6D9F1" w:themeFill="text2" w:themeFillTint="33"/>
            <w:noWrap/>
            <w:hideMark/>
          </w:tcPr>
          <w:p w14:paraId="12B7EC8E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4.9</w:t>
            </w:r>
          </w:p>
        </w:tc>
      </w:tr>
      <w:tr w:rsidR="006A0F9E" w:rsidRPr="00F0607F" w14:paraId="37731CAA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104AFE2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10.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судентске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службе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C6D9F1" w:themeFill="text2" w:themeFillTint="33"/>
            <w:noWrap/>
            <w:hideMark/>
          </w:tcPr>
          <w:p w14:paraId="2803DE4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4.9</w:t>
            </w:r>
          </w:p>
        </w:tc>
      </w:tr>
      <w:tr w:rsidR="006A0F9E" w:rsidRPr="00F0607F" w14:paraId="23105AE9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561F7B8D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11.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административних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служби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0D3A93E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07A554B5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57C56A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12.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E149BAF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6B1BA2B6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6CAF45D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13.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Благовремено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информисан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/а о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одлукама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донетим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Наставно-научном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већу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Савету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представника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катедре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B17621D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6ECAC87A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1E3E187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14.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улаже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довољно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средстава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финансирање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набавке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потрошног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материјала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НИР,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независно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пројеката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финансираних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Министарства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науке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,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просвете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технолошког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развоја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F3CE93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4.0</w:t>
            </w:r>
          </w:p>
        </w:tc>
      </w:tr>
      <w:tr w:rsidR="006A0F9E" w:rsidRPr="00F0607F" w14:paraId="21AB366E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479DBB1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15.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подржава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развој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истраживачког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подмлатка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01EDFA6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2E4900F0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053CF9D" w14:textId="32933F11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16.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између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везана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НИР/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уметнички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оквиру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сродних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научних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A50869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2E67404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1B5D11A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17.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Провера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обавља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утврђеним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стандардима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поступцима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723AB15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36E4B32C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A19191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18.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Провера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врши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систематски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периодично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3FE45D8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57598D8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EBA827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19.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Систем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542CD7A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51F6CB7A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2196B9C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20.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Универзитетска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опремљена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бројем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библиотечких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јединица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одговарајућом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НИР-а.</w:t>
            </w:r>
          </w:p>
        </w:tc>
        <w:tc>
          <w:tcPr>
            <w:tcW w:w="1121" w:type="dxa"/>
            <w:noWrap/>
            <w:hideMark/>
          </w:tcPr>
          <w:p w14:paraId="2E60C87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4782553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03E8F02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21.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Универзитетске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A5199B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0410C954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6E0B51F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22.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Доступне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базе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података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интернет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сервиси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Универзитетској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библиотеци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353E1F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2B9BCEF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1308540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23.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ЈУНИСа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18BCF4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377720E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1360342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24.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Сајт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пружа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информације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CBD5BC9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6FCF5082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0356979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25.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административних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служби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</w:p>
        </w:tc>
        <w:tc>
          <w:tcPr>
            <w:tcW w:w="1121" w:type="dxa"/>
            <w:noWrap/>
            <w:hideMark/>
          </w:tcPr>
          <w:p w14:paraId="4C1C2BF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0FA0430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F508AC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26.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FE7EDF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190B76A0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1238C69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27.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Благовремено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информисан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/а о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одлукама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донетим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Научно-стручним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већима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,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Сенату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Савету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представника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F93939"/>
            <w:noWrap/>
            <w:hideMark/>
          </w:tcPr>
          <w:p w14:paraId="2726DD7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3.8</w:t>
            </w:r>
          </w:p>
        </w:tc>
      </w:tr>
      <w:tr w:rsidR="006A0F9E" w:rsidRPr="00F0607F" w14:paraId="76854A6C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67D2A1C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28.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подржава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развој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истраживачког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подмлатка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6953E5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4CB5A6F5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728501A0" w14:textId="7108FA8D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29.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Комуникација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између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повезивању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оквиру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сродних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научних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F93939"/>
            <w:noWrap/>
            <w:hideMark/>
          </w:tcPr>
          <w:p w14:paraId="739C42A5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3.6</w:t>
            </w:r>
          </w:p>
        </w:tc>
      </w:tr>
    </w:tbl>
    <w:p w14:paraId="605FE3BC" w14:textId="77777777" w:rsidR="001D4BB9" w:rsidRDefault="001D4BB9" w:rsidP="00A478BB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lang w:val="sr-Cyrl-CS"/>
        </w:rPr>
      </w:pPr>
    </w:p>
    <w:p w14:paraId="7F3D9A80" w14:textId="01897085" w:rsidR="004956CC" w:rsidRDefault="00DA0732" w:rsidP="00D067DA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>
        <w:rPr>
          <w:rFonts w:ascii="Times New Roman" w:hAnsi="Times New Roman"/>
          <w:b/>
          <w:color w:val="1F4E79"/>
          <w:sz w:val="32"/>
          <w:szCs w:val="32"/>
          <w:lang w:val="sr-Cyrl-RS"/>
        </w:rPr>
        <w:br w:type="page"/>
      </w:r>
    </w:p>
    <w:p w14:paraId="787E6C53" w14:textId="77777777" w:rsidR="00DA0732" w:rsidRDefault="00DA0732" w:rsidP="001D4BB9">
      <w:pPr>
        <w:widowControl w:val="0"/>
        <w:autoSpaceDE w:val="0"/>
        <w:autoSpaceDN w:val="0"/>
        <w:adjustRightInd w:val="0"/>
        <w:ind w:hanging="11"/>
        <w:jc w:val="center"/>
        <w:rPr>
          <w:rFonts w:ascii="Times New Roman" w:hAnsi="Times New Roman"/>
          <w:spacing w:val="3"/>
          <w:lang w:val="sr-Cyrl-CS"/>
        </w:rPr>
      </w:pP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lastRenderedPageBreak/>
        <w:t>ДЕПАРТМАН ЗА ХЕМИЈУ</w:t>
      </w:r>
    </w:p>
    <w:p w14:paraId="250EB31A" w14:textId="77777777" w:rsidR="00993905" w:rsidRDefault="00993905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2A88DBC1" w14:textId="0355C460" w:rsidR="00DA45B2" w:rsidRPr="00A42972" w:rsidRDefault="00DA45B2" w:rsidP="00D067DA">
      <w:pPr>
        <w:ind w:firstLine="0"/>
        <w:rPr>
          <w:sz w:val="20"/>
          <w:szCs w:val="20"/>
        </w:rPr>
      </w:pPr>
      <w:proofErr w:type="spellStart"/>
      <w:r w:rsidRPr="00A42972">
        <w:rPr>
          <w:b/>
          <w:sz w:val="20"/>
          <w:szCs w:val="20"/>
        </w:rPr>
        <w:t>Резултати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вредновања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квалитета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наставног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процеса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анкетирањем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студената</w:t>
      </w:r>
      <w:proofErr w:type="spellEnd"/>
      <w:r w:rsidRPr="00A42972">
        <w:rPr>
          <w:b/>
          <w:sz w:val="20"/>
          <w:szCs w:val="20"/>
        </w:rPr>
        <w:t xml:space="preserve">, </w:t>
      </w:r>
      <w:proofErr w:type="spellStart"/>
      <w:r w:rsidRPr="00A42972">
        <w:rPr>
          <w:b/>
          <w:sz w:val="20"/>
          <w:szCs w:val="20"/>
        </w:rPr>
        <w:t>за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школску</w:t>
      </w:r>
      <w:proofErr w:type="spellEnd"/>
      <w:r w:rsidRPr="00A42972">
        <w:rPr>
          <w:b/>
          <w:sz w:val="20"/>
          <w:szCs w:val="20"/>
        </w:rPr>
        <w:t xml:space="preserve"> 2017/2018, </w:t>
      </w:r>
      <w:proofErr w:type="spellStart"/>
      <w:r w:rsidRPr="00A42972">
        <w:rPr>
          <w:b/>
          <w:sz w:val="20"/>
          <w:szCs w:val="20"/>
        </w:rPr>
        <w:t>јесењи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семестар</w:t>
      </w:r>
      <w:proofErr w:type="spellEnd"/>
    </w:p>
    <w:p w14:paraId="7C2FDAD1" w14:textId="65E3E5CF" w:rsidR="00DA45B2" w:rsidRPr="00A42972" w:rsidRDefault="00DA45B2" w:rsidP="00D067DA">
      <w:pPr>
        <w:ind w:firstLine="0"/>
        <w:rPr>
          <w:sz w:val="20"/>
          <w:szCs w:val="20"/>
        </w:rPr>
      </w:pPr>
      <w:proofErr w:type="spellStart"/>
      <w:r w:rsidRPr="00A42972">
        <w:rPr>
          <w:b/>
          <w:sz w:val="20"/>
          <w:szCs w:val="20"/>
        </w:rPr>
        <w:t>Департман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за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хемију</w:t>
      </w:r>
      <w:proofErr w:type="spellEnd"/>
      <w:r w:rsidRPr="00A42972">
        <w:rPr>
          <w:b/>
          <w:sz w:val="20"/>
          <w:szCs w:val="20"/>
        </w:rPr>
        <w:t xml:space="preserve">, </w:t>
      </w:r>
      <w:proofErr w:type="spellStart"/>
      <w:r w:rsidRPr="00A42972">
        <w:rPr>
          <w:b/>
          <w:sz w:val="20"/>
          <w:szCs w:val="20"/>
        </w:rPr>
        <w:t>мастер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академске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студије</w:t>
      </w:r>
      <w:proofErr w:type="spellEnd"/>
    </w:p>
    <w:p w14:paraId="52EA74D8" w14:textId="77777777" w:rsidR="00DA45B2" w:rsidRPr="00A42972" w:rsidRDefault="00DA45B2" w:rsidP="00D067DA">
      <w:pPr>
        <w:spacing w:before="6" w:after="6"/>
        <w:ind w:firstLine="0"/>
        <w:rPr>
          <w:sz w:val="20"/>
          <w:szCs w:val="20"/>
        </w:rPr>
      </w:pPr>
      <w:r w:rsidRPr="00A42972">
        <w:rPr>
          <w:b/>
          <w:sz w:val="20"/>
          <w:szCs w:val="20"/>
        </w:rPr>
        <w:t>АНКЕТА 1</w:t>
      </w:r>
    </w:p>
    <w:p w14:paraId="6D0825F5" w14:textId="77777777" w:rsidR="00DA45B2" w:rsidRPr="00A42972" w:rsidRDefault="00DA45B2" w:rsidP="00D067DA">
      <w:pPr>
        <w:ind w:firstLine="0"/>
        <w:rPr>
          <w:sz w:val="20"/>
          <w:szCs w:val="20"/>
        </w:rPr>
      </w:pPr>
      <w:proofErr w:type="spellStart"/>
      <w:r w:rsidRPr="00A42972">
        <w:rPr>
          <w:b/>
          <w:sz w:val="20"/>
          <w:szCs w:val="20"/>
        </w:rPr>
        <w:t>Студенти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су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попунили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укупно</w:t>
      </w:r>
      <w:proofErr w:type="spellEnd"/>
      <w:r w:rsidRPr="00A42972">
        <w:rPr>
          <w:b/>
          <w:sz w:val="20"/>
          <w:szCs w:val="20"/>
        </w:rPr>
        <w:t xml:space="preserve"> 170 </w:t>
      </w:r>
      <w:proofErr w:type="spellStart"/>
      <w:r w:rsidRPr="00A42972">
        <w:rPr>
          <w:b/>
          <w:sz w:val="20"/>
          <w:szCs w:val="20"/>
        </w:rPr>
        <w:t>анкета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за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предмете</w:t>
      </w:r>
      <w:proofErr w:type="spellEnd"/>
      <w:r w:rsidRPr="00A42972">
        <w:rPr>
          <w:b/>
          <w:sz w:val="20"/>
          <w:szCs w:val="20"/>
        </w:rPr>
        <w:t>.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94"/>
        <w:gridCol w:w="671"/>
        <w:gridCol w:w="671"/>
        <w:gridCol w:w="690"/>
        <w:gridCol w:w="690"/>
        <w:gridCol w:w="710"/>
        <w:gridCol w:w="671"/>
      </w:tblGrid>
      <w:tr w:rsidR="00DA45B2" w:rsidRPr="00A42972" w14:paraId="5E14E9F4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A518C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РАСПОДЕЛА ОЦЕНА КВАЛИТЕТА НАСТАВЕ</w:t>
            </w:r>
          </w:p>
        </w:tc>
        <w:tc>
          <w:tcPr>
            <w:tcW w:w="410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B425A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A42972">
              <w:rPr>
                <w:sz w:val="20"/>
                <w:szCs w:val="20"/>
              </w:rPr>
              <w:t>Број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оцена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студената</w:t>
            </w:r>
            <w:proofErr w:type="spellEnd"/>
          </w:p>
        </w:tc>
      </w:tr>
      <w:tr w:rsidR="00DA45B2" w:rsidRPr="00A42972" w14:paraId="322BD952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602CA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B9CE10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726AE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7C800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487166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331C44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D017C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0</w:t>
            </w:r>
          </w:p>
        </w:tc>
      </w:tr>
      <w:tr w:rsidR="00DA45B2" w:rsidRPr="00A42972" w14:paraId="59E720FA" w14:textId="77777777" w:rsidTr="009B44C2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3CFDF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ИСКАЗИ О КВАЛИТЕТУ НАСТАВЕ</w:t>
            </w:r>
          </w:p>
        </w:tc>
      </w:tr>
      <w:tr w:rsidR="00DA45B2" w:rsidRPr="00A42972" w14:paraId="6D24090A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E8FE86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1. </w:t>
            </w:r>
            <w:proofErr w:type="spellStart"/>
            <w:r w:rsidRPr="00A42972">
              <w:rPr>
                <w:sz w:val="20"/>
                <w:szCs w:val="20"/>
              </w:rPr>
              <w:t>Предзнање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које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имао</w:t>
            </w:r>
            <w:proofErr w:type="spellEnd"/>
            <w:r w:rsidRPr="00A42972">
              <w:rPr>
                <w:sz w:val="20"/>
                <w:szCs w:val="20"/>
              </w:rPr>
              <w:t>/</w:t>
            </w:r>
            <w:proofErr w:type="spellStart"/>
            <w:r w:rsidRPr="00A42972">
              <w:rPr>
                <w:sz w:val="20"/>
                <w:szCs w:val="20"/>
              </w:rPr>
              <w:t>ла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било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довољно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праћење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791D2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45FCC5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2EEC6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306AE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53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83372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90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E7B55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5BFF1480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7BC763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2. </w:t>
            </w:r>
            <w:proofErr w:type="spellStart"/>
            <w:r w:rsidRPr="00A42972">
              <w:rPr>
                <w:sz w:val="20"/>
                <w:szCs w:val="20"/>
              </w:rPr>
              <w:t>Студенти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време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упознати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садржајем</w:t>
            </w:r>
            <w:proofErr w:type="spellEnd"/>
            <w:r w:rsidRPr="00A42972">
              <w:rPr>
                <w:sz w:val="20"/>
                <w:szCs w:val="20"/>
              </w:rPr>
              <w:t>/</w:t>
            </w:r>
            <w:proofErr w:type="spellStart"/>
            <w:r w:rsidRPr="00A42972">
              <w:rPr>
                <w:sz w:val="20"/>
                <w:szCs w:val="20"/>
              </w:rPr>
              <w:t>програмом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предмета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начином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оцењивања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9CD31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5B070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2A5491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FB062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33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28115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2CE94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11CAD7B4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C2510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3. </w:t>
            </w:r>
            <w:proofErr w:type="spellStart"/>
            <w:r w:rsidRPr="00A42972">
              <w:rPr>
                <w:sz w:val="20"/>
                <w:szCs w:val="20"/>
              </w:rPr>
              <w:t>Наставне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целине</w:t>
            </w:r>
            <w:proofErr w:type="spellEnd"/>
            <w:r w:rsidRPr="00A42972">
              <w:rPr>
                <w:sz w:val="20"/>
                <w:szCs w:val="20"/>
              </w:rPr>
              <w:t xml:space="preserve"> (</w:t>
            </w:r>
            <w:proofErr w:type="spellStart"/>
            <w:r w:rsidRPr="00A42972">
              <w:rPr>
                <w:sz w:val="20"/>
                <w:szCs w:val="20"/>
              </w:rPr>
              <w:t>садржај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предмета</w:t>
            </w:r>
            <w:proofErr w:type="spellEnd"/>
            <w:r w:rsidRPr="00A42972">
              <w:rPr>
                <w:sz w:val="20"/>
                <w:szCs w:val="20"/>
              </w:rPr>
              <w:t xml:space="preserve">) </w:t>
            </w:r>
            <w:proofErr w:type="spellStart"/>
            <w:r w:rsidRPr="00A42972">
              <w:rPr>
                <w:sz w:val="20"/>
                <w:szCs w:val="20"/>
              </w:rPr>
              <w:t>су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добро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осмишљене</w:t>
            </w:r>
            <w:proofErr w:type="spellEnd"/>
            <w:r w:rsidRPr="00A4297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AC8F2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FBC74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196E1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A0A2F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49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398FCA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103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21767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0824BB63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C1BC6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4. </w:t>
            </w:r>
            <w:proofErr w:type="spellStart"/>
            <w:r w:rsidRPr="00A42972">
              <w:rPr>
                <w:sz w:val="20"/>
                <w:szCs w:val="20"/>
              </w:rPr>
              <w:t>Облици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извођења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 xml:space="preserve"> (</w:t>
            </w:r>
            <w:proofErr w:type="spellStart"/>
            <w:r w:rsidRPr="00A42972">
              <w:rPr>
                <w:sz w:val="20"/>
                <w:szCs w:val="20"/>
              </w:rPr>
              <w:t>предавања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вежбе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пракса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семинари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пројекти</w:t>
            </w:r>
            <w:proofErr w:type="spellEnd"/>
            <w:r w:rsidRPr="00A42972">
              <w:rPr>
                <w:sz w:val="20"/>
                <w:szCs w:val="20"/>
              </w:rPr>
              <w:t xml:space="preserve">...) </w:t>
            </w:r>
            <w:proofErr w:type="spellStart"/>
            <w:r w:rsidRPr="00A42972">
              <w:rPr>
                <w:sz w:val="20"/>
                <w:szCs w:val="20"/>
              </w:rPr>
              <w:t>одговарају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садржају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предмета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65951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1616E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79A3E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92157C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36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4F08D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111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13154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208395CD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356FF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5. </w:t>
            </w:r>
            <w:proofErr w:type="spellStart"/>
            <w:r w:rsidRPr="00A42972">
              <w:rPr>
                <w:sz w:val="20"/>
                <w:szCs w:val="20"/>
              </w:rPr>
              <w:t>Опрема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техничка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подршка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одговарају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облицима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15875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8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F5CCF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C476E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120943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40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FA003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98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E6422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01EDAA6C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169A9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6. </w:t>
            </w:r>
            <w:proofErr w:type="spellStart"/>
            <w:r w:rsidRPr="00A42972">
              <w:rPr>
                <w:sz w:val="20"/>
                <w:szCs w:val="20"/>
              </w:rPr>
              <w:t>Наставни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садржаји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омогућују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стицање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адвекатних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нивоа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знања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35406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F4E6C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45D941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AC433E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42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9C76F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108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8BD81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1B4CC9B2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AFB054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7. </w:t>
            </w:r>
            <w:proofErr w:type="spellStart"/>
            <w:r w:rsidRPr="00A42972">
              <w:rPr>
                <w:sz w:val="20"/>
                <w:szCs w:val="20"/>
              </w:rPr>
              <w:t>Оптерећење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студената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предмету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у </w:t>
            </w:r>
            <w:proofErr w:type="spellStart"/>
            <w:r w:rsidRPr="00A42972">
              <w:rPr>
                <w:sz w:val="20"/>
                <w:szCs w:val="20"/>
              </w:rPr>
              <w:t>складу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додељеним</w:t>
            </w:r>
            <w:proofErr w:type="spellEnd"/>
            <w:r w:rsidRPr="00A42972">
              <w:rPr>
                <w:sz w:val="20"/>
                <w:szCs w:val="20"/>
              </w:rPr>
              <w:t xml:space="preserve"> ЕСПБ </w:t>
            </w:r>
            <w:proofErr w:type="spellStart"/>
            <w:r w:rsidRPr="00A42972">
              <w:rPr>
                <w:sz w:val="20"/>
                <w:szCs w:val="20"/>
              </w:rPr>
              <w:t>бодовима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0C37C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C371D4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F2AAE1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9263E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20FCA3E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106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CE9C3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075F0E0F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E27CF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8. </w:t>
            </w:r>
            <w:proofErr w:type="spellStart"/>
            <w:r w:rsidRPr="00A42972">
              <w:rPr>
                <w:sz w:val="20"/>
                <w:szCs w:val="20"/>
              </w:rPr>
              <w:t>Настава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интерактивна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укључује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примере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из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праксе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E0FE9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95135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14F5D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19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28C44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FF8D9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97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E8E9D3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12A18554" w14:textId="77777777" w:rsidTr="009B44C2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AB1716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ИСКАЗИ О КВАЛИТЕТУ НАСТАВНОГ МАТЕРИЈАЛА</w:t>
            </w:r>
          </w:p>
        </w:tc>
      </w:tr>
      <w:tr w:rsidR="00DA45B2" w:rsidRPr="00A42972" w14:paraId="35235E41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84B54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9. </w:t>
            </w:r>
            <w:proofErr w:type="spellStart"/>
            <w:r w:rsidRPr="00A42972">
              <w:rPr>
                <w:sz w:val="20"/>
                <w:szCs w:val="20"/>
              </w:rPr>
              <w:t>Наставник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сарадник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примењују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литературу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наведену</w:t>
            </w:r>
            <w:proofErr w:type="spellEnd"/>
            <w:r w:rsidRPr="00A42972">
              <w:rPr>
                <w:sz w:val="20"/>
                <w:szCs w:val="20"/>
              </w:rPr>
              <w:t xml:space="preserve"> у </w:t>
            </w:r>
            <w:proofErr w:type="spellStart"/>
            <w:r w:rsidRPr="00A42972">
              <w:rPr>
                <w:sz w:val="20"/>
                <w:szCs w:val="20"/>
              </w:rPr>
              <w:t>спецификацији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2BC68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6CF3E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BD6A9B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3A549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CBB651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119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1E0143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3FFFDBE9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E3A13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10. </w:t>
            </w:r>
            <w:proofErr w:type="spellStart"/>
            <w:r w:rsidRPr="00A42972">
              <w:rPr>
                <w:sz w:val="20"/>
                <w:szCs w:val="20"/>
              </w:rPr>
              <w:t>Литературом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обухваћена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целокупна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испитна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материја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AC2D9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5D002C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DC726C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1E7C4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33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9301AC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FB3CE5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03379012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A4609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11. </w:t>
            </w:r>
            <w:proofErr w:type="spellStart"/>
            <w:r w:rsidRPr="00A42972">
              <w:rPr>
                <w:sz w:val="20"/>
                <w:szCs w:val="20"/>
              </w:rPr>
              <w:t>Наставни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материјал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доступан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1A971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23081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FA908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869494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36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FEEB4E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119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95B46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2ADC942A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9EA72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12. </w:t>
            </w:r>
            <w:proofErr w:type="spellStart"/>
            <w:r w:rsidRPr="00A42972">
              <w:rPr>
                <w:sz w:val="20"/>
                <w:szCs w:val="20"/>
              </w:rPr>
              <w:t>Наставни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материјал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јасан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разумљив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технички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добро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урађен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8062BC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2589AA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31FDD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E47C16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30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792FB3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279DC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3430DEAE" w14:textId="77777777" w:rsidTr="009B44C2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2CE3E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ИСКАЗИ О ОБЈЕКТИВНОСТИ ОЦЕЊИВАЊА</w:t>
            </w:r>
          </w:p>
        </w:tc>
      </w:tr>
      <w:tr w:rsidR="00DA45B2" w:rsidRPr="00A42972" w14:paraId="3CB870E0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DB7C1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13. </w:t>
            </w:r>
            <w:proofErr w:type="spellStart"/>
            <w:r w:rsidRPr="00A42972">
              <w:rPr>
                <w:sz w:val="20"/>
                <w:szCs w:val="20"/>
              </w:rPr>
              <w:t>Рад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студента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прати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оцењује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током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3592F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54088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D864E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A30846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43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81149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90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FE957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0E970FF1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CF088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14. </w:t>
            </w:r>
            <w:proofErr w:type="spellStart"/>
            <w:r w:rsidRPr="00A42972">
              <w:rPr>
                <w:sz w:val="20"/>
                <w:szCs w:val="20"/>
              </w:rPr>
              <w:t>Оцењивање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наставника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током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завршном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испиту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професионално</w:t>
            </w:r>
            <w:proofErr w:type="spellEnd"/>
            <w:r w:rsidRPr="00A42972">
              <w:rPr>
                <w:sz w:val="20"/>
                <w:szCs w:val="20"/>
              </w:rPr>
              <w:t xml:space="preserve"> и у </w:t>
            </w:r>
            <w:proofErr w:type="spellStart"/>
            <w:r w:rsidRPr="00A42972">
              <w:rPr>
                <w:sz w:val="20"/>
                <w:szCs w:val="20"/>
              </w:rPr>
              <w:t>складу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дефинисаним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критеријумима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881ED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14874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96B93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4B2CB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36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FF773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111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8D7A3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710C61AE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4B473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15. </w:t>
            </w:r>
            <w:proofErr w:type="spellStart"/>
            <w:r w:rsidRPr="00A42972">
              <w:rPr>
                <w:sz w:val="20"/>
                <w:szCs w:val="20"/>
              </w:rPr>
              <w:t>Наставник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кроз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оцењивање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вреднује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разумевање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способност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примене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знања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као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аналитичко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мишљење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F92CA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32EAAC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61807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89D64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35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EE5ED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103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B98ABE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065C938A" w14:textId="77777777" w:rsidTr="009B44C2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0C351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ИСКАЗИ О КВАЛИТЕТУ НАСТАВНОГ ОСОБЉА</w:t>
            </w:r>
          </w:p>
        </w:tc>
      </w:tr>
      <w:tr w:rsidR="00DA45B2" w:rsidRPr="00A42972" w14:paraId="6025B5D2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94B7C1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16. </w:t>
            </w:r>
            <w:proofErr w:type="spellStart"/>
            <w:r w:rsidRPr="00A42972">
              <w:rPr>
                <w:sz w:val="20"/>
                <w:szCs w:val="20"/>
              </w:rPr>
              <w:t>Припремљен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наставу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5A2E6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B4464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0F9143E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8A716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2E59D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3833B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16955307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BD232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17. </w:t>
            </w:r>
            <w:proofErr w:type="spellStart"/>
            <w:r w:rsidRPr="00A42972">
              <w:rPr>
                <w:sz w:val="20"/>
                <w:szCs w:val="20"/>
              </w:rPr>
              <w:t>Излаже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градиво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јасно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размљиво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FFACEF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E37364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CE6EB6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16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7A1C7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33E6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176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9EA7B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026E8446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9EFFD1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18. </w:t>
            </w:r>
            <w:proofErr w:type="spellStart"/>
            <w:r w:rsidRPr="00A42972">
              <w:rPr>
                <w:sz w:val="20"/>
                <w:szCs w:val="20"/>
              </w:rPr>
              <w:t>Одржава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редовно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све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облике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утврђеном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распореду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C8F1AE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EC8AA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9139A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55ECDC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46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0A52D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191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19F23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592E23CA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D525C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19. </w:t>
            </w:r>
            <w:proofErr w:type="spellStart"/>
            <w:r w:rsidRPr="00A42972">
              <w:rPr>
                <w:sz w:val="20"/>
                <w:szCs w:val="20"/>
              </w:rPr>
              <w:t>Подстиче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активно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учешће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студената</w:t>
            </w:r>
            <w:proofErr w:type="spellEnd"/>
            <w:r w:rsidRPr="00A42972">
              <w:rPr>
                <w:sz w:val="20"/>
                <w:szCs w:val="20"/>
              </w:rPr>
              <w:t xml:space="preserve"> у </w:t>
            </w:r>
            <w:proofErr w:type="spellStart"/>
            <w:r w:rsidRPr="00A42972">
              <w:rPr>
                <w:sz w:val="20"/>
                <w:szCs w:val="20"/>
              </w:rPr>
              <w:t>настави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18286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D2DCB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6A6EDC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32BDCF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C8D0E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170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036B0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53C10CFC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1FEF6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20. </w:t>
            </w:r>
            <w:proofErr w:type="spellStart"/>
            <w:r w:rsidRPr="00A42972">
              <w:rPr>
                <w:sz w:val="20"/>
                <w:szCs w:val="20"/>
              </w:rPr>
              <w:t>Доступан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сва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студентска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питања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консултације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2FEEEE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EDCFE4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4D36D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3DCE36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50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1CF45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187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D677D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5D251D28" w14:textId="77777777" w:rsidTr="009B44C2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1C062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21. </w:t>
            </w:r>
            <w:proofErr w:type="spellStart"/>
            <w:r w:rsidRPr="00A42972">
              <w:rPr>
                <w:sz w:val="20"/>
                <w:szCs w:val="20"/>
              </w:rPr>
              <w:t>Уважава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обавезе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студената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приликом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одређивања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термина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проверу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знања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23C6A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88C403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2D4B50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530C26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49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9EB77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189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F257F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</w:tbl>
    <w:p w14:paraId="73DC687C" w14:textId="77777777" w:rsidR="00DA45B2" w:rsidRPr="00A42972" w:rsidRDefault="00DA45B2" w:rsidP="00A42972">
      <w:pPr>
        <w:spacing w:before="6" w:after="6"/>
        <w:ind w:firstLine="0"/>
        <w:jc w:val="left"/>
        <w:rPr>
          <w:sz w:val="20"/>
          <w:szCs w:val="20"/>
        </w:rPr>
      </w:pPr>
      <w:r w:rsidRPr="00A42972">
        <w:rPr>
          <w:sz w:val="20"/>
          <w:szCs w:val="20"/>
        </w:rPr>
        <w:t xml:space="preserve">1 = у </w:t>
      </w:r>
      <w:proofErr w:type="spellStart"/>
      <w:r w:rsidRPr="00A42972">
        <w:rPr>
          <w:sz w:val="20"/>
          <w:szCs w:val="20"/>
        </w:rPr>
        <w:t>потпуности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не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, 2 = </w:t>
      </w:r>
      <w:proofErr w:type="spellStart"/>
      <w:r w:rsidRPr="00A42972">
        <w:rPr>
          <w:sz w:val="20"/>
          <w:szCs w:val="20"/>
        </w:rPr>
        <w:t>углавном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не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,    3 = </w:t>
      </w:r>
      <w:proofErr w:type="spellStart"/>
      <w:r w:rsidRPr="00A42972">
        <w:rPr>
          <w:sz w:val="20"/>
          <w:szCs w:val="20"/>
        </w:rPr>
        <w:t>нити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нити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не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, 4 = </w:t>
      </w:r>
      <w:proofErr w:type="spellStart"/>
      <w:r w:rsidRPr="00A42972">
        <w:rPr>
          <w:sz w:val="20"/>
          <w:szCs w:val="20"/>
        </w:rPr>
        <w:t>углавном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, 5 = у </w:t>
      </w:r>
      <w:proofErr w:type="spellStart"/>
      <w:r w:rsidRPr="00A42972">
        <w:rPr>
          <w:sz w:val="20"/>
          <w:szCs w:val="20"/>
        </w:rPr>
        <w:t>потпуности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, 0 = </w:t>
      </w:r>
      <w:proofErr w:type="spellStart"/>
      <w:r w:rsidRPr="00A42972">
        <w:rPr>
          <w:sz w:val="20"/>
          <w:szCs w:val="20"/>
        </w:rPr>
        <w:t>немам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одговор</w:t>
      </w:r>
      <w:proofErr w:type="spellEnd"/>
      <w:r w:rsidRPr="00A42972">
        <w:rPr>
          <w:sz w:val="20"/>
          <w:szCs w:val="20"/>
        </w:rPr>
        <w:t>.</w:t>
      </w:r>
    </w:p>
    <w:p w14:paraId="69A15EE5" w14:textId="77777777" w:rsidR="00DA45B2" w:rsidRDefault="00DA45B2" w:rsidP="00DA45B2"/>
    <w:p w14:paraId="1F71E526" w14:textId="77777777" w:rsidR="00952474" w:rsidRPr="00541C57" w:rsidRDefault="00952474" w:rsidP="008D2C9D">
      <w:pPr>
        <w:ind w:firstLine="0"/>
        <w:jc w:val="left"/>
        <w:rPr>
          <w:rFonts w:ascii="Times New Roman" w:hAnsi="Times New Roman"/>
          <w:b/>
          <w:color w:val="1F4E79"/>
          <w:sz w:val="20"/>
          <w:szCs w:val="20"/>
          <w:lang w:val="sr-Cyrl-RS"/>
        </w:rPr>
      </w:pPr>
    </w:p>
    <w:p w14:paraId="7F85FCAD" w14:textId="10AE59BD" w:rsidR="00B07732" w:rsidRDefault="00B07732" w:rsidP="00B07732">
      <w:pPr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DE6D82">
        <w:rPr>
          <w:rFonts w:ascii="Times New Roman" w:hAnsi="Times New Roman" w:cs="Times New Roman"/>
          <w:szCs w:val="24"/>
          <w:lang w:val="sr-Cyrl-RS"/>
        </w:rPr>
        <w:t>Претходна табела се односи на оцењивање појединачних предмета на МАС програмима Департмана за хемију. Већина</w:t>
      </w:r>
      <w:r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szCs w:val="24"/>
        </w:rPr>
        <w:t>исказ</w:t>
      </w:r>
      <w:proofErr w:type="spellEnd"/>
      <w:r w:rsidRPr="00DE6D82">
        <w:rPr>
          <w:rFonts w:ascii="Times New Roman" w:hAnsi="Times New Roman" w:cs="Times New Roman"/>
          <w:szCs w:val="24"/>
          <w:lang w:val="sr-Cyrl-RS"/>
        </w:rPr>
        <w:t>а</w:t>
      </w:r>
      <w:r w:rsidRPr="00DE6D82">
        <w:rPr>
          <w:rFonts w:ascii="Times New Roman" w:hAnsi="Times New Roman" w:cs="Times New Roman"/>
          <w:szCs w:val="24"/>
        </w:rPr>
        <w:t xml:space="preserve"> о </w:t>
      </w:r>
      <w:proofErr w:type="spellStart"/>
      <w:r w:rsidRPr="00DE6D82">
        <w:rPr>
          <w:rFonts w:ascii="Times New Roman" w:hAnsi="Times New Roman" w:cs="Times New Roman"/>
          <w:szCs w:val="24"/>
        </w:rPr>
        <w:t>квалитету</w:t>
      </w:r>
      <w:proofErr w:type="spellEnd"/>
      <w:r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szCs w:val="24"/>
        </w:rPr>
        <w:t>наставе</w:t>
      </w:r>
      <w:proofErr w:type="spellEnd"/>
      <w:r w:rsidRPr="00DE6D82">
        <w:rPr>
          <w:rFonts w:ascii="Times New Roman" w:hAnsi="Times New Roman" w:cs="Times New Roman"/>
          <w:szCs w:val="24"/>
        </w:rPr>
        <w:t xml:space="preserve"> </w:t>
      </w:r>
      <w:r w:rsidRPr="00DE6D82">
        <w:rPr>
          <w:rFonts w:ascii="Times New Roman" w:hAnsi="Times New Roman" w:cs="Times New Roman"/>
          <w:szCs w:val="24"/>
          <w:lang w:val="sr-Cyrl-RS"/>
        </w:rPr>
        <w:t>је</w:t>
      </w:r>
      <w:r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szCs w:val="24"/>
        </w:rPr>
        <w:t>оцењен</w:t>
      </w:r>
      <w:proofErr w:type="spellEnd"/>
      <w:r w:rsidRPr="00DE6D82">
        <w:rPr>
          <w:rFonts w:ascii="Times New Roman" w:hAnsi="Times New Roman" w:cs="Times New Roman"/>
          <w:szCs w:val="24"/>
          <w:lang w:val="sr-Cyrl-RS"/>
        </w:rPr>
        <w:t>а</w:t>
      </w:r>
      <w:r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szCs w:val="24"/>
        </w:rPr>
        <w:t>високим</w:t>
      </w:r>
      <w:proofErr w:type="spellEnd"/>
      <w:r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szCs w:val="24"/>
        </w:rPr>
        <w:t>оценама</w:t>
      </w:r>
      <w:proofErr w:type="spellEnd"/>
      <w:r w:rsidRPr="00DE6D82">
        <w:rPr>
          <w:rFonts w:ascii="Times New Roman" w:hAnsi="Times New Roman" w:cs="Times New Roman"/>
          <w:szCs w:val="24"/>
          <w:lang w:val="sr-Cyrl-RS"/>
        </w:rPr>
        <w:t>. У следећа два критеријума оцене су нешто, али не значајно, ниже:</w:t>
      </w:r>
    </w:p>
    <w:p w14:paraId="0BB55CB7" w14:textId="47B2882C" w:rsidR="00D067DA" w:rsidRDefault="00D067DA" w:rsidP="00B07732">
      <w:pPr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</w:p>
    <w:p w14:paraId="271EDE35" w14:textId="77777777" w:rsidR="00D067DA" w:rsidRPr="00DE6D82" w:rsidRDefault="00D067DA" w:rsidP="00B07732">
      <w:pPr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</w:p>
    <w:p w14:paraId="523B6678" w14:textId="77777777" w:rsidR="00B07732" w:rsidRPr="00DE6D82" w:rsidRDefault="00B07732" w:rsidP="00B07732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DE6D82">
        <w:rPr>
          <w:rFonts w:ascii="Times New Roman" w:hAnsi="Times New Roman" w:cs="Times New Roman"/>
          <w:i/>
          <w:szCs w:val="24"/>
          <w:lang w:val="sr-Cyrl-RS"/>
        </w:rPr>
        <w:lastRenderedPageBreak/>
        <w:t xml:space="preserve">Предзнање које сам имао/ла је било довољно за праћење наставе. </w:t>
      </w:r>
    </w:p>
    <w:p w14:paraId="4BD6D98B" w14:textId="77777777" w:rsidR="00B07732" w:rsidRPr="00DE6D82" w:rsidRDefault="00B07732" w:rsidP="00B07732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DE6D82">
        <w:rPr>
          <w:rFonts w:ascii="Times New Roman" w:hAnsi="Times New Roman" w:cs="Times New Roman"/>
          <w:szCs w:val="24"/>
          <w:lang w:val="sr-Cyrl-RS"/>
        </w:rPr>
        <w:t>Предложили би смо увођење режима студија, јер овај проблем не би био оволико изражен да студенти имају мањи број неположених испита на претходним годинама студија.</w:t>
      </w:r>
    </w:p>
    <w:p w14:paraId="0C647C12" w14:textId="77777777" w:rsidR="00B07732" w:rsidRPr="00DE6D82" w:rsidRDefault="00B07732" w:rsidP="00B07732">
      <w:pPr>
        <w:pStyle w:val="ListParagraph"/>
        <w:spacing w:line="259" w:lineRule="auto"/>
        <w:ind w:firstLine="0"/>
        <w:rPr>
          <w:rFonts w:ascii="Times New Roman" w:hAnsi="Times New Roman" w:cs="Times New Roman"/>
          <w:i/>
          <w:szCs w:val="24"/>
          <w:lang w:val="sr-Cyrl-RS"/>
        </w:rPr>
      </w:pPr>
      <w:proofErr w:type="spellStart"/>
      <w:r w:rsidRPr="00DE6D82">
        <w:rPr>
          <w:rFonts w:ascii="Times New Roman" w:hAnsi="Times New Roman" w:cs="Times New Roman"/>
          <w:i/>
          <w:szCs w:val="24"/>
        </w:rPr>
        <w:t>Опрема</w:t>
      </w:r>
      <w:proofErr w:type="spellEnd"/>
      <w:r w:rsidRPr="00DE6D82">
        <w:rPr>
          <w:rFonts w:ascii="Times New Roman" w:hAnsi="Times New Roman" w:cs="Times New Roman"/>
          <w:i/>
          <w:szCs w:val="24"/>
        </w:rPr>
        <w:t xml:space="preserve"> и </w:t>
      </w:r>
      <w:proofErr w:type="spellStart"/>
      <w:r w:rsidRPr="00DE6D82">
        <w:rPr>
          <w:rFonts w:ascii="Times New Roman" w:hAnsi="Times New Roman" w:cs="Times New Roman"/>
          <w:i/>
          <w:szCs w:val="24"/>
        </w:rPr>
        <w:t>техничка</w:t>
      </w:r>
      <w:proofErr w:type="spellEnd"/>
      <w:r w:rsidRPr="00DE6D82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i/>
          <w:szCs w:val="24"/>
        </w:rPr>
        <w:t>подршка</w:t>
      </w:r>
      <w:proofErr w:type="spellEnd"/>
      <w:r w:rsidRPr="00DE6D82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i/>
          <w:szCs w:val="24"/>
        </w:rPr>
        <w:t>одговарају</w:t>
      </w:r>
      <w:proofErr w:type="spellEnd"/>
      <w:r w:rsidRPr="00DE6D82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i/>
          <w:szCs w:val="24"/>
        </w:rPr>
        <w:t>облицима</w:t>
      </w:r>
      <w:proofErr w:type="spellEnd"/>
      <w:r w:rsidRPr="00DE6D82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i/>
          <w:szCs w:val="24"/>
        </w:rPr>
        <w:t>наставе</w:t>
      </w:r>
      <w:proofErr w:type="spellEnd"/>
      <w:r w:rsidRPr="00DE6D82">
        <w:rPr>
          <w:rFonts w:ascii="Times New Roman" w:hAnsi="Times New Roman" w:cs="Times New Roman"/>
          <w:i/>
          <w:szCs w:val="24"/>
          <w:lang w:val="sr-Cyrl-RS"/>
        </w:rPr>
        <w:t xml:space="preserve">. </w:t>
      </w:r>
    </w:p>
    <w:p w14:paraId="05F87876" w14:textId="77777777" w:rsidR="00B07732" w:rsidRPr="00DE6D82" w:rsidRDefault="00B07732" w:rsidP="00B07732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DE6D82">
        <w:rPr>
          <w:rFonts w:ascii="Times New Roman" w:hAnsi="Times New Roman" w:cs="Times New Roman"/>
          <w:szCs w:val="24"/>
          <w:lang w:val="sr-Cyrl-RS"/>
        </w:rPr>
        <w:t>Проблем се може решити већим улагањем у просторне капацитете за извођење наставе, као и лабораторијска и наставна средства.</w:t>
      </w:r>
    </w:p>
    <w:p w14:paraId="28320A01" w14:textId="77777777" w:rsidR="00B07732" w:rsidRPr="00DE6D82" w:rsidRDefault="00B07732" w:rsidP="00B07732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</w:p>
    <w:p w14:paraId="22B6989D" w14:textId="77777777" w:rsidR="00B07732" w:rsidRPr="00DE6D82" w:rsidRDefault="00B07732" w:rsidP="00B07732">
      <w:pPr>
        <w:ind w:firstLine="0"/>
      </w:pPr>
      <w:r w:rsidRPr="00DE6D82">
        <w:rPr>
          <w:rFonts w:ascii="Times New Roman" w:hAnsi="Times New Roman" w:cs="Times New Roman"/>
          <w:szCs w:val="24"/>
          <w:lang w:val="sr-Cyrl-RS"/>
        </w:rPr>
        <w:t>Искази о квалитету наставног материјала, објективности оцењивања и квалитету наставног особља су оцењени врло високим оценама.</w:t>
      </w:r>
    </w:p>
    <w:p w14:paraId="6F70A62A" w14:textId="77777777" w:rsidR="008D2C9D" w:rsidRDefault="008D2C9D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4FA37E69" w14:textId="77777777" w:rsidR="004956CC" w:rsidRDefault="004956CC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>
        <w:rPr>
          <w:rFonts w:ascii="Times New Roman" w:hAnsi="Times New Roman"/>
          <w:b/>
          <w:color w:val="1F4E79"/>
          <w:sz w:val="32"/>
          <w:szCs w:val="32"/>
          <w:lang w:val="sr-Cyrl-RS"/>
        </w:rPr>
        <w:br w:type="page"/>
      </w:r>
    </w:p>
    <w:p w14:paraId="4F0284A7" w14:textId="4476D4D9" w:rsidR="00743399" w:rsidRPr="005935EF" w:rsidRDefault="0074339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lastRenderedPageBreak/>
        <w:t xml:space="preserve">Део плана активности Комисије за обезбеђење квалитета Факултета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на основу анализе резултата анкетирања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за период зимски семестар 201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t>7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/1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t>8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.</w:t>
      </w:r>
    </w:p>
    <w:p w14:paraId="2EA7ECEF" w14:textId="77777777" w:rsidR="00743399" w:rsidRDefault="00743399" w:rsidP="00743399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7B3966BC" w14:textId="77777777" w:rsidR="00743399" w:rsidRDefault="00743399" w:rsidP="00743399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Комисија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за обезбеђење квалитета Факултета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предлаже следеће мере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:</w:t>
      </w:r>
    </w:p>
    <w:p w14:paraId="6427394C" w14:textId="77777777" w:rsidR="00743399" w:rsidRPr="00952474" w:rsidRDefault="00743399" w:rsidP="00743399">
      <w:pPr>
        <w:ind w:firstLine="0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27DFC65F" w14:textId="22F1EA1A" w:rsidR="00743399" w:rsidRPr="00952474" w:rsidRDefault="000F40BF" w:rsidP="00743399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</w:t>
      </w:r>
      <w:r w:rsidR="0074339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743399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управљања факултетом и ненаставне подршке на ПМФ-у:</w:t>
      </w:r>
    </w:p>
    <w:p w14:paraId="364F6B4B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3A173F6E" w14:textId="32119CEB" w:rsidR="002D05E9" w:rsidRDefault="00743399" w:rsidP="00BF4E3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Повећати број промотивних публикација Факултета</w:t>
      </w:r>
      <w:r w:rsidR="000F40BF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и </w:t>
      </w:r>
      <w:r w:rsidR="008C443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видљивост институције. Могућност </w:t>
      </w:r>
      <w:r w:rsidR="00FA322A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ангажовања маркетиншке агенције.</w:t>
      </w:r>
    </w:p>
    <w:p w14:paraId="2974B7BA" w14:textId="68BDA11C" w:rsidR="002D05E9" w:rsidRDefault="006C4FB4" w:rsidP="009645A5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Сајт Факултета је потребно реди</w:t>
      </w:r>
      <w:r w:rsidR="00211BD9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зајнирати. Вршити анкетирање студената и наставника о дизајну и  информацијама које пружа сајт</w:t>
      </w:r>
      <w:r w:rsidR="002D05E9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7033770E" w14:textId="45CECBFE" w:rsidR="00351F4C" w:rsidRPr="002D05E9" w:rsidRDefault="00C82CB7" w:rsidP="009645A5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циљу б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лаговремено</w:t>
      </w: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и адекватно</w:t>
      </w: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информиса</w:t>
      </w: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ња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о одлукама донетим на Научно-стручним већима, Сенату и Савету Универзитета од стране представника факултета</w:t>
      </w:r>
      <w:r w:rsidR="002D05E9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, увести могућност да се на сајт постављају овакве одлуке.</w:t>
      </w:r>
    </w:p>
    <w:p w14:paraId="19E805B7" w14:textId="77777777" w:rsidR="00743399" w:rsidRPr="00952474" w:rsidRDefault="00743399" w:rsidP="00743399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75300BC7" w14:textId="6B77745B" w:rsidR="00743399" w:rsidRPr="00952474" w:rsidRDefault="00052AFC" w:rsidP="00743399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Б</w:t>
      </w:r>
      <w:r w:rsidR="0074339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743399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простора и опреме на ПМФ-у:</w:t>
      </w:r>
    </w:p>
    <w:p w14:paraId="03016665" w14:textId="20FC54A6" w:rsidR="00F52B11" w:rsidRDefault="00F52B11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</w:t>
      </w:r>
      <w:r w:rsidR="006C4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ређивањ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е</w:t>
      </w:r>
      <w:r w:rsidR="006C4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ограде око зграде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(скидање старе фарбе и стављање нове)</w:t>
      </w:r>
    </w:p>
    <w:p w14:paraId="0B4827E5" w14:textId="031F3E3C" w:rsidR="005311E9" w:rsidRDefault="005311E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Поплочавање степеница 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код паркинга</w:t>
      </w:r>
    </w:p>
    <w:p w14:paraId="60A33194" w14:textId="0B2472FF" w:rsidR="00D5095E" w:rsidRDefault="001165DA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Уклањање помоћне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ко</w:t>
      </w:r>
      <w:r w:rsidR="00D5727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н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зо</w:t>
      </w:r>
      <w:r w:rsidR="00D5727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л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е поред степеница са паркинга</w:t>
      </w:r>
    </w:p>
    <w:p w14:paraId="105C4DAC" w14:textId="64CDA31C" w:rsidR="000A33A9" w:rsidRDefault="000A33A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Поплочавање дворишта.</w:t>
      </w:r>
    </w:p>
    <w:p w14:paraId="3FF7524C" w14:textId="3B98D8ED" w:rsidR="000A33A9" w:rsidRDefault="000A33A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Постављање додатних клупа</w:t>
      </w:r>
      <w:r w:rsidR="00DF79F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, сенице или сл. за студенте</w:t>
      </w:r>
    </w:p>
    <w:p w14:paraId="2FA104CF" w14:textId="545534AD" w:rsidR="00C71841" w:rsidRDefault="00C71841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Увођење чесме у двориште</w:t>
      </w:r>
    </w:p>
    <w:p w14:paraId="63D2A271" w14:textId="34D00CC3" w:rsidR="00525984" w:rsidRDefault="00525984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Постављање рекламне табле испре</w:t>
      </w:r>
      <w:r w:rsidR="00832AC2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д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МИН института</w:t>
      </w:r>
    </w:p>
    <w:p w14:paraId="7109414C" w14:textId="55BC78F3" w:rsidR="00BB0E16" w:rsidRDefault="00BB0E16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Обезбеђење зграде </w:t>
      </w:r>
      <w:r w:rsidR="00FE5D18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–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професионално</w:t>
      </w:r>
    </w:p>
    <w:p w14:paraId="42102E10" w14:textId="57E23450" w:rsidR="00FE5D18" w:rsidRDefault="00FE5D18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Увођење боље расвете дворишта</w:t>
      </w:r>
    </w:p>
    <w:p w14:paraId="25574B9C" w14:textId="77777777" w:rsidR="005311E9" w:rsidRDefault="005311E9" w:rsidP="005311E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Увести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монитор у главном холу факултета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. </w:t>
      </w:r>
    </w:p>
    <w:p w14:paraId="49B0A6C3" w14:textId="19E28C8D" w:rsidR="005311E9" w:rsidRDefault="005311E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остављање итисона у амфитеатар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</w:t>
      </w:r>
    </w:p>
    <w:p w14:paraId="05DFC19B" w14:textId="575630A6" w:rsidR="00052AFC" w:rsidRDefault="005311E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остављање плоча у </w:t>
      </w:r>
      <w:r w:rsidR="00F65F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делу 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ходник</w:t>
      </w:r>
      <w:r w:rsidR="00F65F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 амфитеатар-студентска служба.</w:t>
      </w:r>
    </w:p>
    <w:p w14:paraId="2D1ACBE4" w14:textId="7167D5EC" w:rsidR="00F65F3E" w:rsidRPr="00952474" w:rsidRDefault="00F65F3E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Ренумерација просторија у пр</w:t>
      </w:r>
      <w:r w:rsidR="00DD1D5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иземљу зграде. Униформно обележавање </w:t>
      </w:r>
      <w:r w:rsidR="00DD5AA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просторија.</w:t>
      </w:r>
    </w:p>
    <w:p w14:paraId="19E5767C" w14:textId="77777777" w:rsidR="00760965" w:rsidRDefault="00743399" w:rsidP="00760965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76096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Повећати ниво хигијене у </w:t>
      </w:r>
      <w:r w:rsidR="00EC50F5" w:rsidRPr="0076096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згради</w:t>
      </w:r>
      <w:r w:rsidRPr="0076096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04BFA5E5" w14:textId="02EE621A" w:rsidR="00760965" w:rsidRDefault="00D5095E" w:rsidP="008E419D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8A2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Инфо табла са распоредом просторија </w:t>
      </w:r>
      <w:r w:rsidR="008A2F06" w:rsidRPr="008A2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 именима запослених по просторијама (код библиотеке</w:t>
      </w:r>
      <w:r w:rsidR="00927241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, на улазу у факултет</w:t>
      </w:r>
      <w:r w:rsidR="008A2F06" w:rsidRPr="008A2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) </w:t>
      </w:r>
    </w:p>
    <w:p w14:paraId="0E363147" w14:textId="7019A980" w:rsidR="004838BA" w:rsidRPr="008A2F06" w:rsidRDefault="004838BA" w:rsidP="008E419D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Заузимање простора депоније, преко пута Факултета клупама или неким сличним садржајем</w:t>
      </w:r>
    </w:p>
    <w:p w14:paraId="53C14E1A" w14:textId="77777777" w:rsidR="00760965" w:rsidRDefault="00760965" w:rsidP="00927241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6C77C7D1" w14:textId="77777777" w:rsidR="00743399" w:rsidRPr="00952474" w:rsidRDefault="00743399" w:rsidP="00743399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Г) у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наставе:</w:t>
      </w:r>
    </w:p>
    <w:p w14:paraId="1B965778" w14:textId="171F7DA9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Јасније дефинисати исходе програма;</w:t>
      </w:r>
    </w:p>
    <w:p w14:paraId="71A65EF9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Испитати сагласност потребног ангажовања студената на предметима са одговарајућим ЕСПБ бодовима</w:t>
      </w:r>
    </w:p>
    <w:p w14:paraId="16966222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Поваћати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 јединице или наставне целине)</w:t>
      </w:r>
    </w:p>
    <w:p w14:paraId="223F6694" w14:textId="77777777" w:rsidR="00743399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Потребно је боље међупредметно усаглашавање термина колоквијума, семинара и испита</w:t>
      </w:r>
    </w:p>
    <w:p w14:paraId="754F0664" w14:textId="77777777" w:rsidR="00743399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ратити оцене студената по предметима и дефинисати мере у случај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неправилне дистрибуције оцена</w:t>
      </w:r>
    </w:p>
    <w:p w14:paraId="73B5273B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Усагласити у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већој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мери опрему и техничку подршку са облицима наставе. Снабдети све учионице белим таблама, пројекторима, као и одговарајућим прикључком за рачунаре и приступом интернету.</w:t>
      </w:r>
    </w:p>
    <w:p w14:paraId="07AEFAD9" w14:textId="77777777" w:rsidR="00743399" w:rsidRDefault="00743399" w:rsidP="00743399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5EDA0669" w14:textId="77777777" w:rsidR="00743399" w:rsidRDefault="00743399" w:rsidP="00743399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6D34D118" w14:textId="5AE541E4" w:rsidR="00743399" w:rsidRDefault="00743399" w:rsidP="00743399">
      <w:pPr>
        <w:pStyle w:val="ListParagraph"/>
        <w:widowControl w:val="0"/>
        <w:autoSpaceDE w:val="0"/>
        <w:autoSpaceDN w:val="0"/>
        <w:adjustRightInd w:val="0"/>
        <w:ind w:left="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Нишу,</w:t>
      </w:r>
      <w:r w:rsidR="00A15D7A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</w:t>
      </w:r>
      <w:r w:rsidR="00365CB5">
        <w:rPr>
          <w:rFonts w:ascii="Times New Roman" w:hAnsi="Times New Roman"/>
          <w:color w:val="1F4E79"/>
          <w:spacing w:val="3"/>
          <w:sz w:val="20"/>
          <w:szCs w:val="20"/>
        </w:rPr>
        <w:t>09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  <w:r w:rsidR="00365CB5">
        <w:rPr>
          <w:rFonts w:ascii="Times New Roman" w:hAnsi="Times New Roman"/>
          <w:color w:val="1F4E79"/>
          <w:spacing w:val="3"/>
          <w:sz w:val="20"/>
          <w:szCs w:val="20"/>
        </w:rPr>
        <w:t>10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.201</w:t>
      </w:r>
      <w:r w:rsidR="00A15D7A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8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596D9D9D" w14:textId="77777777" w:rsidR="00365CB5" w:rsidRPr="00952474" w:rsidRDefault="00365CB5" w:rsidP="00365CB5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color w:val="1F4E79"/>
          <w:spacing w:val="3"/>
          <w:sz w:val="22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2"/>
          <w:lang w:val="sr-Cyrl-RS"/>
        </w:rPr>
        <w:t>Председник Комисије за обезбеђење квалитета Природно-математичког факултета</w:t>
      </w:r>
    </w:p>
    <w:p w14:paraId="5D447CC1" w14:textId="77777777" w:rsidR="00365CB5" w:rsidRPr="00952474" w:rsidRDefault="00365CB5" w:rsidP="00365CB5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color w:val="1F4E79"/>
          <w:spacing w:val="3"/>
          <w:sz w:val="22"/>
          <w:lang w:val="sr-Cyrl-RS"/>
        </w:rPr>
      </w:pPr>
    </w:p>
    <w:p w14:paraId="1E467597" w14:textId="7E264A31" w:rsidR="00743399" w:rsidRDefault="00365CB5" w:rsidP="00365CB5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2"/>
          <w:lang w:val="sr-Cyrl-RS"/>
        </w:rPr>
        <w:t>Проф. др Татјана Анђелковић</w:t>
      </w:r>
    </w:p>
    <w:p w14:paraId="52C16EFE" w14:textId="15CF79B2" w:rsidR="00134C9B" w:rsidRDefault="00134C9B">
      <w:pPr>
        <w:ind w:firstLine="0"/>
        <w:jc w:val="left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sectPr w:rsidR="00134C9B" w:rsidSect="00BC5820">
      <w:headerReference w:type="default" r:id="rId8"/>
      <w:footerReference w:type="default" r:id="rId9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54CBD" w14:textId="77777777" w:rsidR="002F51D8" w:rsidRDefault="002F51D8" w:rsidP="00BB1F50">
      <w:r>
        <w:separator/>
      </w:r>
    </w:p>
  </w:endnote>
  <w:endnote w:type="continuationSeparator" w:id="0">
    <w:p w14:paraId="4524B38D" w14:textId="77777777" w:rsidR="002F51D8" w:rsidRDefault="002F51D8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535570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74B8C08" w14:textId="77777777" w:rsidR="009F14DF" w:rsidRPr="004279DF" w:rsidRDefault="009F14DF" w:rsidP="004279DF">
            <w:pPr>
              <w:pStyle w:val="Footer"/>
              <w:ind w:firstLine="0"/>
              <w:jc w:val="center"/>
              <w:rPr>
                <w:sz w:val="20"/>
                <w:szCs w:val="20"/>
              </w:rPr>
            </w:pPr>
            <w:r w:rsidRPr="004279DF">
              <w:rPr>
                <w:sz w:val="20"/>
                <w:szCs w:val="20"/>
                <w:lang w:val="sr-Cyrl-RS"/>
              </w:rPr>
              <w:t>Страна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 w:rsidR="001113A8"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sz w:val="20"/>
                <w:szCs w:val="20"/>
                <w:lang w:val="sr-Cyrl-RS"/>
              </w:rPr>
              <w:t>од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 w:rsidR="001113A8"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47E6F3" w14:textId="77777777" w:rsidR="009F14DF" w:rsidRDefault="009F14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FE77B" w14:textId="77777777" w:rsidR="002F51D8" w:rsidRDefault="002F51D8" w:rsidP="00BB1F50">
      <w:r>
        <w:separator/>
      </w:r>
    </w:p>
  </w:footnote>
  <w:footnote w:type="continuationSeparator" w:id="0">
    <w:p w14:paraId="05E3567B" w14:textId="77777777" w:rsidR="002F51D8" w:rsidRDefault="002F51D8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5B11F" w14:textId="77777777" w:rsidR="009F14DF" w:rsidRPr="004279DF" w:rsidRDefault="009F14DF" w:rsidP="004279DF">
    <w:pPr>
      <w:pStyle w:val="Header"/>
      <w:pBdr>
        <w:bottom w:val="thickThinSmallGap" w:sz="24" w:space="1" w:color="622423"/>
      </w:pBdr>
      <w:ind w:firstLine="0"/>
      <w:jc w:val="center"/>
      <w:rPr>
        <w:rFonts w:cs="Cambria"/>
        <w:szCs w:val="24"/>
      </w:rPr>
    </w:pPr>
    <w:r w:rsidRPr="004279DF">
      <w:rPr>
        <w:rFonts w:cs="Cambria"/>
        <w:szCs w:val="24"/>
        <w:lang w:val="ru-RU"/>
      </w:rPr>
      <w:t>Универзитет у Нишу Природно-математички факултет</w:t>
    </w:r>
  </w:p>
  <w:p w14:paraId="3178DD69" w14:textId="77777777" w:rsidR="009F14DF" w:rsidRPr="001C2545" w:rsidRDefault="009F14DF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01C99"/>
    <w:rsid w:val="00002AFE"/>
    <w:rsid w:val="00005E4A"/>
    <w:rsid w:val="00014B5B"/>
    <w:rsid w:val="000204F4"/>
    <w:rsid w:val="00022E92"/>
    <w:rsid w:val="000237D4"/>
    <w:rsid w:val="000319B1"/>
    <w:rsid w:val="00032D61"/>
    <w:rsid w:val="00041D65"/>
    <w:rsid w:val="00042639"/>
    <w:rsid w:val="0004597C"/>
    <w:rsid w:val="00046CD6"/>
    <w:rsid w:val="0005155B"/>
    <w:rsid w:val="00052AFC"/>
    <w:rsid w:val="00070229"/>
    <w:rsid w:val="000730C7"/>
    <w:rsid w:val="0008440A"/>
    <w:rsid w:val="0008526C"/>
    <w:rsid w:val="00091825"/>
    <w:rsid w:val="00095EC4"/>
    <w:rsid w:val="000A07B2"/>
    <w:rsid w:val="000A1823"/>
    <w:rsid w:val="000A33A9"/>
    <w:rsid w:val="000A60FB"/>
    <w:rsid w:val="000B5B97"/>
    <w:rsid w:val="000C0C06"/>
    <w:rsid w:val="000C5A8A"/>
    <w:rsid w:val="000D10B3"/>
    <w:rsid w:val="000D239E"/>
    <w:rsid w:val="000E2FDE"/>
    <w:rsid w:val="000E4C94"/>
    <w:rsid w:val="000F40BF"/>
    <w:rsid w:val="00104C72"/>
    <w:rsid w:val="001113A8"/>
    <w:rsid w:val="001165DA"/>
    <w:rsid w:val="0012577E"/>
    <w:rsid w:val="00134C9B"/>
    <w:rsid w:val="001357E9"/>
    <w:rsid w:val="00143349"/>
    <w:rsid w:val="00160D3F"/>
    <w:rsid w:val="00164F38"/>
    <w:rsid w:val="00167D9E"/>
    <w:rsid w:val="001752F1"/>
    <w:rsid w:val="00177460"/>
    <w:rsid w:val="00184B57"/>
    <w:rsid w:val="00190BBB"/>
    <w:rsid w:val="00192EFD"/>
    <w:rsid w:val="001B09BD"/>
    <w:rsid w:val="001B0DD4"/>
    <w:rsid w:val="001C2313"/>
    <w:rsid w:val="001C2545"/>
    <w:rsid w:val="001C7E25"/>
    <w:rsid w:val="001D2C79"/>
    <w:rsid w:val="001D3B0F"/>
    <w:rsid w:val="001D4BB9"/>
    <w:rsid w:val="001D6868"/>
    <w:rsid w:val="001E2C02"/>
    <w:rsid w:val="001F3D92"/>
    <w:rsid w:val="002013EB"/>
    <w:rsid w:val="00202A5A"/>
    <w:rsid w:val="002034EA"/>
    <w:rsid w:val="00211BD9"/>
    <w:rsid w:val="00214253"/>
    <w:rsid w:val="00215DAE"/>
    <w:rsid w:val="00221347"/>
    <w:rsid w:val="002308E5"/>
    <w:rsid w:val="00237FF3"/>
    <w:rsid w:val="00240820"/>
    <w:rsid w:val="00243511"/>
    <w:rsid w:val="00247D24"/>
    <w:rsid w:val="00256F6C"/>
    <w:rsid w:val="00273F93"/>
    <w:rsid w:val="00280AFD"/>
    <w:rsid w:val="002879ED"/>
    <w:rsid w:val="00290307"/>
    <w:rsid w:val="00294BD5"/>
    <w:rsid w:val="00295042"/>
    <w:rsid w:val="002962A6"/>
    <w:rsid w:val="002A206A"/>
    <w:rsid w:val="002A6B64"/>
    <w:rsid w:val="002B4FBB"/>
    <w:rsid w:val="002D05E9"/>
    <w:rsid w:val="002D1694"/>
    <w:rsid w:val="002D3B09"/>
    <w:rsid w:val="002F3B76"/>
    <w:rsid w:val="002F51D8"/>
    <w:rsid w:val="003025FD"/>
    <w:rsid w:val="0033152C"/>
    <w:rsid w:val="0034364B"/>
    <w:rsid w:val="0034380F"/>
    <w:rsid w:val="0034456B"/>
    <w:rsid w:val="00351E5D"/>
    <w:rsid w:val="00351F4C"/>
    <w:rsid w:val="00361850"/>
    <w:rsid w:val="00361EB3"/>
    <w:rsid w:val="0036440D"/>
    <w:rsid w:val="00365012"/>
    <w:rsid w:val="003657A4"/>
    <w:rsid w:val="00365CB5"/>
    <w:rsid w:val="00366B09"/>
    <w:rsid w:val="0037775B"/>
    <w:rsid w:val="00381041"/>
    <w:rsid w:val="0039077B"/>
    <w:rsid w:val="003A340E"/>
    <w:rsid w:val="003A5B6D"/>
    <w:rsid w:val="003B098A"/>
    <w:rsid w:val="003D0A77"/>
    <w:rsid w:val="003E7F17"/>
    <w:rsid w:val="003F03A4"/>
    <w:rsid w:val="003F1BE1"/>
    <w:rsid w:val="004013C5"/>
    <w:rsid w:val="00402803"/>
    <w:rsid w:val="004041DD"/>
    <w:rsid w:val="00411C29"/>
    <w:rsid w:val="00414EB0"/>
    <w:rsid w:val="004254F7"/>
    <w:rsid w:val="004258B6"/>
    <w:rsid w:val="00426A85"/>
    <w:rsid w:val="004279DF"/>
    <w:rsid w:val="004322D8"/>
    <w:rsid w:val="00444644"/>
    <w:rsid w:val="00464079"/>
    <w:rsid w:val="00467852"/>
    <w:rsid w:val="004723D4"/>
    <w:rsid w:val="00481A72"/>
    <w:rsid w:val="00482C8A"/>
    <w:rsid w:val="004838BA"/>
    <w:rsid w:val="0049545A"/>
    <w:rsid w:val="004956CC"/>
    <w:rsid w:val="004A2C04"/>
    <w:rsid w:val="004A795E"/>
    <w:rsid w:val="004B18CF"/>
    <w:rsid w:val="004B7CF4"/>
    <w:rsid w:val="004F3AFF"/>
    <w:rsid w:val="00500DC2"/>
    <w:rsid w:val="00506596"/>
    <w:rsid w:val="005072E0"/>
    <w:rsid w:val="005202D1"/>
    <w:rsid w:val="00522DBB"/>
    <w:rsid w:val="00524655"/>
    <w:rsid w:val="00525984"/>
    <w:rsid w:val="00526295"/>
    <w:rsid w:val="005271B9"/>
    <w:rsid w:val="005311E9"/>
    <w:rsid w:val="00531887"/>
    <w:rsid w:val="00532B03"/>
    <w:rsid w:val="00535016"/>
    <w:rsid w:val="00535BFF"/>
    <w:rsid w:val="00541C57"/>
    <w:rsid w:val="00553750"/>
    <w:rsid w:val="00560758"/>
    <w:rsid w:val="0056171D"/>
    <w:rsid w:val="0058173F"/>
    <w:rsid w:val="00592558"/>
    <w:rsid w:val="005935EF"/>
    <w:rsid w:val="00593D6B"/>
    <w:rsid w:val="00594836"/>
    <w:rsid w:val="0059597A"/>
    <w:rsid w:val="005968D6"/>
    <w:rsid w:val="005A2B72"/>
    <w:rsid w:val="005A3768"/>
    <w:rsid w:val="005B1042"/>
    <w:rsid w:val="005B1265"/>
    <w:rsid w:val="005B43D6"/>
    <w:rsid w:val="005E3A15"/>
    <w:rsid w:val="005F4044"/>
    <w:rsid w:val="006528E2"/>
    <w:rsid w:val="006666F0"/>
    <w:rsid w:val="006702A3"/>
    <w:rsid w:val="00674665"/>
    <w:rsid w:val="00687DA0"/>
    <w:rsid w:val="006A0F9E"/>
    <w:rsid w:val="006A2049"/>
    <w:rsid w:val="006A4834"/>
    <w:rsid w:val="006A49B6"/>
    <w:rsid w:val="006B2F37"/>
    <w:rsid w:val="006B4259"/>
    <w:rsid w:val="006B7BFE"/>
    <w:rsid w:val="006C4F06"/>
    <w:rsid w:val="006C4FB4"/>
    <w:rsid w:val="006D62F9"/>
    <w:rsid w:val="006E028A"/>
    <w:rsid w:val="006E3730"/>
    <w:rsid w:val="006F3C74"/>
    <w:rsid w:val="0071582A"/>
    <w:rsid w:val="00723B8F"/>
    <w:rsid w:val="0074322B"/>
    <w:rsid w:val="00743399"/>
    <w:rsid w:val="00760965"/>
    <w:rsid w:val="00760A1B"/>
    <w:rsid w:val="00770D37"/>
    <w:rsid w:val="00772BCF"/>
    <w:rsid w:val="0077559F"/>
    <w:rsid w:val="00776DEB"/>
    <w:rsid w:val="007819DA"/>
    <w:rsid w:val="0078216D"/>
    <w:rsid w:val="00797B16"/>
    <w:rsid w:val="007A1300"/>
    <w:rsid w:val="007A33C0"/>
    <w:rsid w:val="007A6B11"/>
    <w:rsid w:val="007A7057"/>
    <w:rsid w:val="007A7ED7"/>
    <w:rsid w:val="007B110C"/>
    <w:rsid w:val="007B1AEA"/>
    <w:rsid w:val="007C0FA2"/>
    <w:rsid w:val="007C56EB"/>
    <w:rsid w:val="007C6B81"/>
    <w:rsid w:val="007D1012"/>
    <w:rsid w:val="007D44D9"/>
    <w:rsid w:val="007D5DF0"/>
    <w:rsid w:val="007D6127"/>
    <w:rsid w:val="007E3C77"/>
    <w:rsid w:val="007F2F90"/>
    <w:rsid w:val="00813083"/>
    <w:rsid w:val="00823E6B"/>
    <w:rsid w:val="00832AC2"/>
    <w:rsid w:val="008360BB"/>
    <w:rsid w:val="00844CAB"/>
    <w:rsid w:val="008501A3"/>
    <w:rsid w:val="00854C38"/>
    <w:rsid w:val="00855F05"/>
    <w:rsid w:val="008846AB"/>
    <w:rsid w:val="00890451"/>
    <w:rsid w:val="00892C94"/>
    <w:rsid w:val="008A085A"/>
    <w:rsid w:val="008A2DA1"/>
    <w:rsid w:val="008A2F06"/>
    <w:rsid w:val="008A74D9"/>
    <w:rsid w:val="008B573B"/>
    <w:rsid w:val="008C4435"/>
    <w:rsid w:val="008D2C9D"/>
    <w:rsid w:val="008E3348"/>
    <w:rsid w:val="008E38AE"/>
    <w:rsid w:val="008E67DD"/>
    <w:rsid w:val="008F136A"/>
    <w:rsid w:val="008F6C5D"/>
    <w:rsid w:val="008F74DB"/>
    <w:rsid w:val="00916620"/>
    <w:rsid w:val="009245A0"/>
    <w:rsid w:val="00927241"/>
    <w:rsid w:val="00927F48"/>
    <w:rsid w:val="009351CA"/>
    <w:rsid w:val="00940570"/>
    <w:rsid w:val="009405FF"/>
    <w:rsid w:val="009473BD"/>
    <w:rsid w:val="00952474"/>
    <w:rsid w:val="009552EE"/>
    <w:rsid w:val="00963ADA"/>
    <w:rsid w:val="009711C8"/>
    <w:rsid w:val="00981429"/>
    <w:rsid w:val="00990D10"/>
    <w:rsid w:val="00993905"/>
    <w:rsid w:val="00996D55"/>
    <w:rsid w:val="009A3046"/>
    <w:rsid w:val="009A36A2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85C"/>
    <w:rsid w:val="009F14DF"/>
    <w:rsid w:val="009F1EE3"/>
    <w:rsid w:val="00A13618"/>
    <w:rsid w:val="00A15D7A"/>
    <w:rsid w:val="00A24271"/>
    <w:rsid w:val="00A30EBB"/>
    <w:rsid w:val="00A40200"/>
    <w:rsid w:val="00A42972"/>
    <w:rsid w:val="00A44331"/>
    <w:rsid w:val="00A478BB"/>
    <w:rsid w:val="00A53A77"/>
    <w:rsid w:val="00A71936"/>
    <w:rsid w:val="00A73E35"/>
    <w:rsid w:val="00A767C7"/>
    <w:rsid w:val="00A807A5"/>
    <w:rsid w:val="00A9041F"/>
    <w:rsid w:val="00A91465"/>
    <w:rsid w:val="00A93258"/>
    <w:rsid w:val="00AA03B6"/>
    <w:rsid w:val="00AB3CE7"/>
    <w:rsid w:val="00AB4828"/>
    <w:rsid w:val="00AB48C2"/>
    <w:rsid w:val="00AC16FD"/>
    <w:rsid w:val="00AC189C"/>
    <w:rsid w:val="00AC3607"/>
    <w:rsid w:val="00AC5AD5"/>
    <w:rsid w:val="00AF1326"/>
    <w:rsid w:val="00AF316E"/>
    <w:rsid w:val="00B0092B"/>
    <w:rsid w:val="00B02EDA"/>
    <w:rsid w:val="00B042F1"/>
    <w:rsid w:val="00B07732"/>
    <w:rsid w:val="00B16AA9"/>
    <w:rsid w:val="00B173FC"/>
    <w:rsid w:val="00B20CCC"/>
    <w:rsid w:val="00B2437A"/>
    <w:rsid w:val="00B33388"/>
    <w:rsid w:val="00B36249"/>
    <w:rsid w:val="00B44745"/>
    <w:rsid w:val="00B56C23"/>
    <w:rsid w:val="00B774F1"/>
    <w:rsid w:val="00BA0EB8"/>
    <w:rsid w:val="00BB0E16"/>
    <w:rsid w:val="00BB1F50"/>
    <w:rsid w:val="00BC1D15"/>
    <w:rsid w:val="00BC2530"/>
    <w:rsid w:val="00BC5820"/>
    <w:rsid w:val="00BD4472"/>
    <w:rsid w:val="00BE6445"/>
    <w:rsid w:val="00BE735E"/>
    <w:rsid w:val="00BF1987"/>
    <w:rsid w:val="00BF2C33"/>
    <w:rsid w:val="00BF4F89"/>
    <w:rsid w:val="00BF76D8"/>
    <w:rsid w:val="00C01CC9"/>
    <w:rsid w:val="00C14FE7"/>
    <w:rsid w:val="00C162BB"/>
    <w:rsid w:val="00C21578"/>
    <w:rsid w:val="00C313D5"/>
    <w:rsid w:val="00C34110"/>
    <w:rsid w:val="00C409C5"/>
    <w:rsid w:val="00C40DCD"/>
    <w:rsid w:val="00C47151"/>
    <w:rsid w:val="00C63F9B"/>
    <w:rsid w:val="00C71841"/>
    <w:rsid w:val="00C74B20"/>
    <w:rsid w:val="00C82CB7"/>
    <w:rsid w:val="00C8423B"/>
    <w:rsid w:val="00C9489D"/>
    <w:rsid w:val="00CA4186"/>
    <w:rsid w:val="00CA7083"/>
    <w:rsid w:val="00CA7D97"/>
    <w:rsid w:val="00CB12FE"/>
    <w:rsid w:val="00CC0BD7"/>
    <w:rsid w:val="00CD3CAA"/>
    <w:rsid w:val="00CD57E8"/>
    <w:rsid w:val="00CF2AF8"/>
    <w:rsid w:val="00D0586B"/>
    <w:rsid w:val="00D067DA"/>
    <w:rsid w:val="00D14472"/>
    <w:rsid w:val="00D202B3"/>
    <w:rsid w:val="00D332C8"/>
    <w:rsid w:val="00D42F62"/>
    <w:rsid w:val="00D5095E"/>
    <w:rsid w:val="00D527C4"/>
    <w:rsid w:val="00D53F9C"/>
    <w:rsid w:val="00D545BE"/>
    <w:rsid w:val="00D57273"/>
    <w:rsid w:val="00D62E92"/>
    <w:rsid w:val="00D714FD"/>
    <w:rsid w:val="00D751D9"/>
    <w:rsid w:val="00D763C2"/>
    <w:rsid w:val="00D82C84"/>
    <w:rsid w:val="00D86365"/>
    <w:rsid w:val="00D95433"/>
    <w:rsid w:val="00D96BED"/>
    <w:rsid w:val="00DA0732"/>
    <w:rsid w:val="00DA45B2"/>
    <w:rsid w:val="00DB0E9D"/>
    <w:rsid w:val="00DC467A"/>
    <w:rsid w:val="00DD1D5D"/>
    <w:rsid w:val="00DD56E9"/>
    <w:rsid w:val="00DD5AA9"/>
    <w:rsid w:val="00DE0121"/>
    <w:rsid w:val="00DE34E2"/>
    <w:rsid w:val="00DE5B3F"/>
    <w:rsid w:val="00DE6D82"/>
    <w:rsid w:val="00DF2F2E"/>
    <w:rsid w:val="00DF5105"/>
    <w:rsid w:val="00DF79FE"/>
    <w:rsid w:val="00DF7EAE"/>
    <w:rsid w:val="00E13676"/>
    <w:rsid w:val="00E22B3E"/>
    <w:rsid w:val="00E33EB1"/>
    <w:rsid w:val="00E40E4E"/>
    <w:rsid w:val="00E54387"/>
    <w:rsid w:val="00E57155"/>
    <w:rsid w:val="00E60BD2"/>
    <w:rsid w:val="00E64EDA"/>
    <w:rsid w:val="00E659D6"/>
    <w:rsid w:val="00E822B8"/>
    <w:rsid w:val="00E96C12"/>
    <w:rsid w:val="00EA754A"/>
    <w:rsid w:val="00EB059A"/>
    <w:rsid w:val="00EB235B"/>
    <w:rsid w:val="00EB2997"/>
    <w:rsid w:val="00EB71A1"/>
    <w:rsid w:val="00EC17C3"/>
    <w:rsid w:val="00EC50F5"/>
    <w:rsid w:val="00ED195D"/>
    <w:rsid w:val="00ED59B7"/>
    <w:rsid w:val="00EE05E1"/>
    <w:rsid w:val="00F0607F"/>
    <w:rsid w:val="00F17A19"/>
    <w:rsid w:val="00F23362"/>
    <w:rsid w:val="00F32633"/>
    <w:rsid w:val="00F326F4"/>
    <w:rsid w:val="00F37410"/>
    <w:rsid w:val="00F402E6"/>
    <w:rsid w:val="00F40C70"/>
    <w:rsid w:val="00F52B11"/>
    <w:rsid w:val="00F63202"/>
    <w:rsid w:val="00F65F3E"/>
    <w:rsid w:val="00F76A6E"/>
    <w:rsid w:val="00F76B62"/>
    <w:rsid w:val="00F82C26"/>
    <w:rsid w:val="00F87333"/>
    <w:rsid w:val="00F878A1"/>
    <w:rsid w:val="00F87ACF"/>
    <w:rsid w:val="00F97427"/>
    <w:rsid w:val="00FA0966"/>
    <w:rsid w:val="00FA1AF1"/>
    <w:rsid w:val="00FA269D"/>
    <w:rsid w:val="00FA322A"/>
    <w:rsid w:val="00FB35D3"/>
    <w:rsid w:val="00FC1115"/>
    <w:rsid w:val="00FD0918"/>
    <w:rsid w:val="00FE5607"/>
    <w:rsid w:val="00FE5D18"/>
    <w:rsid w:val="00FF3166"/>
    <w:rsid w:val="00FF3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617622"/>
  <w15:docId w15:val="{63B59DB6-779B-440D-8603-79A2659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AE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styleId="ListTable3-Accent1">
    <w:name w:val="List Table 3 Accent 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C6D11-FD18-41D4-835E-F80E7849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11681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Aleksandra Pavlovic</cp:lastModifiedBy>
  <cp:revision>128</cp:revision>
  <cp:lastPrinted>2019-01-11T10:56:00Z</cp:lastPrinted>
  <dcterms:created xsi:type="dcterms:W3CDTF">2016-09-22T06:10:00Z</dcterms:created>
  <dcterms:modified xsi:type="dcterms:W3CDTF">2019-12-01T19:02:00Z</dcterms:modified>
</cp:coreProperties>
</file>