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Резултат вредновања квалитета мастер студијског програма ГЕОГРАФ и постигнутих исхода учења од стране дипломираних студената</w:t>
        <w:br/>
        <w:t>Природно-математичког факултета Универзитета у Нишу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АНКЕТА 4</w:t>
      </w:r>
    </w:p>
    <w:p>
      <w:pPr>
        <w:pStyle w:val="Normal"/>
        <w:jc w:val="both"/>
        <w:rPr/>
      </w:pPr>
      <w:r>
        <w:rPr>
          <w:b/>
          <w:sz w:val="20"/>
          <w:szCs w:val="20"/>
        </w:rPr>
        <w:t>Прикупљено је мишљење 1 дипломираног студента са мастер студијског програма ГЕОГРАФ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292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72"/>
        <w:gridCol w:w="2153"/>
      </w:tblGrid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Број оцена студената (процентуално)</w:t>
            </w:r>
          </w:p>
        </w:tc>
      </w:tr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5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РАСПОДЕЛА ОЦЕНА ИСХОДА УЧЕЊА</w:t>
      </w:r>
    </w:p>
    <w:tbl>
      <w:tblPr>
        <w:tblStyle w:val="TableGrid4"/>
        <w:tblW w:w="9855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2"/>
        <w:gridCol w:w="1033"/>
        <w:gridCol w:w="1033"/>
        <w:gridCol w:w="1034"/>
        <w:gridCol w:w="1034"/>
        <w:gridCol w:w="1034"/>
        <w:gridCol w:w="1034"/>
      </w:tblGrid>
      <w:tr>
        <w:trPr>
          <w:trHeight w:val="338" w:hRule="atLeast"/>
        </w:trPr>
        <w:tc>
          <w:tcPr>
            <w:tcW w:w="3652" w:type="dxa"/>
            <w:vMerge w:val="restart"/>
            <w:tcBorders/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b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2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4031" w:leader="none"/>
              </w:tabs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>
        <w:trPr>
          <w:trHeight w:val="337" w:hRule="atLeast"/>
        </w:trPr>
        <w:tc>
          <w:tcPr>
            <w:tcW w:w="3652" w:type="dxa"/>
            <w:vMerge w:val="continue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 xml:space="preserve">Садржаји предмета омогућују </w:t>
            </w:r>
            <w:r>
              <w:rPr>
                <w:rFonts w:eastAsia="Times New Roman"/>
                <w:sz w:val="20"/>
                <w:szCs w:val="20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NewRomanPSMT"/>
                <w:sz w:val="20"/>
                <w:szCs w:val="20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/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9855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2"/>
        <w:gridCol w:w="1033"/>
        <w:gridCol w:w="1033"/>
        <w:gridCol w:w="1034"/>
        <w:gridCol w:w="1034"/>
        <w:gridCol w:w="1034"/>
        <w:gridCol w:w="1034"/>
      </w:tblGrid>
      <w:tr>
        <w:trPr>
          <w:trHeight w:val="338" w:hRule="atLeast"/>
        </w:trPr>
        <w:tc>
          <w:tcPr>
            <w:tcW w:w="3652" w:type="dxa"/>
            <w:vMerge w:val="restart"/>
            <w:tcBorders/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b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2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4031" w:leader="none"/>
              </w:tabs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>
        <w:trPr>
          <w:trHeight w:val="337" w:hRule="atLeast"/>
        </w:trPr>
        <w:tc>
          <w:tcPr>
            <w:tcW w:w="3652" w:type="dxa"/>
            <w:vMerge w:val="continue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/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p>
      <w:pPr>
        <w:pStyle w:val="Normal"/>
        <w:jc w:val="both"/>
        <w:rPr/>
      </w:pPr>
      <w:r>
        <w:rPr>
          <w:b/>
          <w:sz w:val="24"/>
          <w:szCs w:val="24"/>
        </w:rPr>
        <w:t>РАСПОДЕЛА ОЦЕНА СТУДЕНТСКОГ ОПТЕРЕЋЕЊА</w:t>
      </w:r>
    </w:p>
    <w:tbl>
      <w:tblPr>
        <w:tblStyle w:val="TableGrid4"/>
        <w:tblW w:w="9855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2"/>
        <w:gridCol w:w="1033"/>
        <w:gridCol w:w="1033"/>
        <w:gridCol w:w="1034"/>
        <w:gridCol w:w="1034"/>
        <w:gridCol w:w="1034"/>
        <w:gridCol w:w="1034"/>
      </w:tblGrid>
      <w:tr>
        <w:trPr>
          <w:trHeight w:val="338" w:hRule="atLeast"/>
        </w:trPr>
        <w:tc>
          <w:tcPr>
            <w:tcW w:w="3652" w:type="dxa"/>
            <w:vMerge w:val="restart"/>
            <w:tcBorders/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b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2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4031" w:leader="none"/>
              </w:tabs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Број оцена дипломираних студената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>
        <w:trPr>
          <w:trHeight w:val="337" w:hRule="atLeast"/>
        </w:trPr>
        <w:tc>
          <w:tcPr>
            <w:tcW w:w="3652" w:type="dxa"/>
            <w:vMerge w:val="continue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65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3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(100%)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0"/>
                <w:szCs w:val="20"/>
              </w:rPr>
              <w:t>(0%)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jc w:val="both"/>
        <w:rPr/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 = у потпуности се не слажем, </w:t>
      </w:r>
      <w:r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 = углавном се не слажем,    </w:t>
      </w:r>
      <w:r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 = нити се слажем нити се не слажем, </w:t>
      </w:r>
      <w:r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= углавном се слажем, </w:t>
      </w:r>
      <w:r>
        <w:rPr>
          <w:b/>
          <w:sz w:val="20"/>
          <w:szCs w:val="20"/>
        </w:rPr>
        <w:t>5</w:t>
      </w:r>
      <w:r>
        <w:rPr>
          <w:sz w:val="20"/>
          <w:szCs w:val="20"/>
        </w:rPr>
        <w:t xml:space="preserve"> = у потпуности се слажем, </w:t>
      </w:r>
      <w:r>
        <w:rPr>
          <w:b/>
          <w:sz w:val="20"/>
          <w:szCs w:val="20"/>
        </w:rPr>
        <w:t>0</w:t>
      </w:r>
      <w:r>
        <w:rPr>
          <w:sz w:val="20"/>
          <w:szCs w:val="20"/>
        </w:rPr>
        <w:t xml:space="preserve"> = немам одговор.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2</Pages>
  <Words>638</Words>
  <Characters>2944</Characters>
  <CharactersWithSpaces>3308</CharactersWithSpaces>
  <Paragraphs>288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2019-12-10T12:41:24Z</dcterms:created>
  <dc:creator/>
  <dc:description/>
  <dc:language>en-US</dc:language>
  <cp:lastModifiedBy/>
  <dcterms:modified xsi:type="dcterms:W3CDTF">2019-12-10T12:42:04Z</dcterms:modified>
  <cp:revision>1</cp:revision>
  <dc:subject/>
  <dc:title/>
</cp:coreProperties>
</file>