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400F1E9" w:rsidR="00CC3F76" w:rsidRPr="00390C82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390C82">
              <w:rPr>
                <w:rFonts w:ascii="Times New Roman" w:hAnsi="Times New Roman"/>
                <w:bCs/>
                <w:sz w:val="20"/>
                <w:szCs w:val="20"/>
              </w:rPr>
              <w:t>Fundamentals of inorganic chemistry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7AB9F701" w:rsidR="00CC3F76" w:rsidRPr="00390C8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390C8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90C8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Nikola D. Nikolić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53BA401C" w:rsidR="00CC3F76" w:rsidRPr="00390C8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390C8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90C8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7903E3EB" w:rsidR="00CC3F76" w:rsidRPr="00390C82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390C82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390C8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7DBA85D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6BDF6D79" w:rsidR="00390C82" w:rsidRPr="00390C82" w:rsidRDefault="00390C82" w:rsidP="00390C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Study of elements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and corresponding compounds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properties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both by groups and by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periods of the periodic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table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of elements. Inclusion of 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ore problem type data that will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be a challenge for students to apply chemistry in diff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erent ways and in other fields.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Study of the chemistry of s- and p-elements through comparability of general, p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hysical and chemical properties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and the most important classes of their compounds. Noticing a change in the type of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chemical bond being formed,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structure of elements, acid-base and oxidation-reduction properties in groups and periods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8603EC1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02F1141D" w14:textId="734EA739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After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the course, 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student will be able to:</w:t>
            </w:r>
          </w:p>
          <w:p w14:paraId="2DF9A170" w14:textId="706ABD6F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- determine and expand the acquired knowledge in general chemistry and be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able to follow the courses that</w:t>
            </w: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follow at higher years and levels of study</w:t>
            </w:r>
          </w:p>
          <w:p w14:paraId="5CB32405" w14:textId="77777777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- systematizes basic knowledge about elements and their compounds</w:t>
            </w:r>
          </w:p>
          <w:p w14:paraId="5F79C7F4" w14:textId="5BFA6FC4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- approaches to the study and systematization of knowledge in the field of inorg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anic chemistry in higher years and</w:t>
            </w:r>
          </w:p>
          <w:p w14:paraId="11B481AB" w14:textId="134F9E74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levels of study.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E586151" w14:textId="77777777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Periodic table and chemistry of elements. Nomenclature of inorganic compounds. Basic classes of inorganic</w:t>
            </w:r>
          </w:p>
          <w:p w14:paraId="5F9A47C0" w14:textId="77777777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compounds. Hydrogen. Elements of group 1/I - Alkali metals. Elements of group 2/II - Alkaline earth metals.</w:t>
            </w:r>
          </w:p>
          <w:p w14:paraId="3CBF7D19" w14:textId="77777777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Elements of group 13/III - Elements of the boron group. Elements of group 14/IV - Elements of the carbon group.</w:t>
            </w:r>
          </w:p>
          <w:p w14:paraId="707E8F8B" w14:textId="7B78FC60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 xml:space="preserve">Elements of group 15/V - Elements of the nitrogen group. Elements of group 16/VI -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Chalcogen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elements. Elements 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groups 17/VII - Halogen elements. Elements of group 18/VIII - Noble gases.</w:t>
            </w:r>
          </w:p>
          <w:p w14:paraId="6B76F7C4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4F8D1A27" w:rsidR="00390C82" w:rsidRPr="00390C82" w:rsidRDefault="00390C82" w:rsidP="00390C8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Solving stoichiometric problems and interpreting the results obt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ained within practical classes. 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Chemical behavior of hydrogen. Chemical behavior of a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lkali metals. Chemical behavior 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alkaline earth metals. Chemical behavior of elements of the 13</w:t>
            </w:r>
            <w:r w:rsidRPr="00390C82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th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 xml:space="preserve"> group. Ch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emical behavior of elements 14</w:t>
            </w:r>
            <w:r w:rsidRPr="00390C82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group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. Chemical behavior of elements of the 15t</w:t>
            </w:r>
            <w:r w:rsidRPr="00390C82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h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 xml:space="preserve"> group. Chemical behavi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or of oxygen. Chemical behavior </w:t>
            </w:r>
            <w:r w:rsidRPr="00390C82">
              <w:rPr>
                <w:rFonts w:ascii="Times New Roman" w:hAnsi="Times New Roman"/>
                <w:iCs/>
                <w:sz w:val="20"/>
                <w:szCs w:val="20"/>
              </w:rPr>
              <w:t>sulfur. Chemical behavior of halogen elements. Interesting and educational experiments.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3312C19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1BA3CA7" w14:textId="2BBE4673" w:rsidR="00390C82" w:rsidRPr="00390C82" w:rsidRDefault="00390C82" w:rsidP="00390C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N.D.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Nikolić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Osnovi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neorganske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Nišu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Prirodno-matematički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, 2014.</w:t>
            </w:r>
          </w:p>
          <w:p w14:paraId="40B5CE3A" w14:textId="769FB8E8" w:rsidR="00390C82" w:rsidRPr="00390C82" w:rsidRDefault="00390C82" w:rsidP="00390C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I.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Filipović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S.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Lipanović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Opća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i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anorganska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kemija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II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deo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, Zagreb, 1996.</w:t>
            </w:r>
          </w:p>
          <w:p w14:paraId="19B54EB4" w14:textId="5911F71C" w:rsidR="00390C82" w:rsidRPr="00390C82" w:rsidRDefault="00390C82" w:rsidP="00390C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Charles E. Mortimer, Chemistry: A Conceptual Approach. D. Van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Nosztrand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Compny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, New York, 1979.</w:t>
            </w:r>
          </w:p>
          <w:p w14:paraId="5B991BBE" w14:textId="4877E0C3" w:rsidR="00390C82" w:rsidRPr="00390C82" w:rsidRDefault="00390C82" w:rsidP="00390C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S. Cotton, G. Wilkinson, Advanced Inorganic Chemistry. John Wiley &amp; Sons, 1976.</w:t>
            </w:r>
          </w:p>
          <w:p w14:paraId="68441527" w14:textId="7FB6390C" w:rsidR="00390C82" w:rsidRPr="00390C82" w:rsidRDefault="00390C82" w:rsidP="00390C8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M. N.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Stanković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Praktikum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iz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osnova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neorganske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hemije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Univerzitet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u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Nišu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Prirodnomatematički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Niš</w:t>
            </w:r>
            <w:proofErr w:type="spellEnd"/>
            <w:r w:rsidRPr="00390C82">
              <w:rPr>
                <w:rFonts w:ascii="Times New Roman" w:hAnsi="Times New Roman"/>
                <w:bCs/>
                <w:sz w:val="20"/>
                <w:szCs w:val="20"/>
              </w:rPr>
              <w:t>, 2015.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615EE765" w:rsidR="00CC3F76" w:rsidRPr="0057117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5711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7117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7B8DDDDF" w:rsidR="00CC3F76" w:rsidRPr="0057117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5711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7117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64BF4759" w:rsidR="00CC3F76" w:rsidRPr="0057117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57117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71174">
              <w:rPr>
                <w:rFonts w:ascii="Times New Roman" w:hAnsi="Times New Roman"/>
                <w:bCs/>
                <w:sz w:val="20"/>
                <w:szCs w:val="20"/>
              </w:rPr>
              <w:t xml:space="preserve">Lectures, laboratory work, homework, theoretical exercises 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19211567" w:rsidR="00CC3F76" w:rsidRPr="00571174" w:rsidRDefault="00571174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253EC266" w:rsidR="00CC3F76" w:rsidRPr="00571174" w:rsidRDefault="00571174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6E1726DC" w:rsidR="00CC3F76" w:rsidRPr="00571174" w:rsidRDefault="00571174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73B47C72" w:rsidR="00CC3F76" w:rsidRPr="00571174" w:rsidRDefault="00571174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390C82"/>
    <w:rsid w:val="004525D6"/>
    <w:rsid w:val="00474C37"/>
    <w:rsid w:val="0048349C"/>
    <w:rsid w:val="0054487B"/>
    <w:rsid w:val="005452A0"/>
    <w:rsid w:val="00571174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72311-E31D-41F5-88CB-549BB24ED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2022-12-23T13:51:00Z</dcterms:created>
  <dcterms:modified xsi:type="dcterms:W3CDTF">2022-12-23T13:51:00Z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