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93FAF03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047B45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047B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047B45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1934F276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534CB" w:rsidRPr="001534CB">
              <w:rPr>
                <w:rFonts w:ascii="Times New Roman" w:hAnsi="Times New Roman"/>
                <w:sz w:val="20"/>
                <w:szCs w:val="20"/>
              </w:rPr>
              <w:t xml:space="preserve">Asymmetric </w:t>
            </w:r>
            <w:r w:rsidR="001534CB">
              <w:rPr>
                <w:rFonts w:ascii="Times New Roman" w:hAnsi="Times New Roman"/>
                <w:sz w:val="20"/>
                <w:szCs w:val="20"/>
              </w:rPr>
              <w:t>S</w:t>
            </w:r>
            <w:r w:rsidR="001534CB" w:rsidRPr="001534CB">
              <w:rPr>
                <w:rFonts w:ascii="Times New Roman" w:hAnsi="Times New Roman"/>
                <w:sz w:val="20"/>
                <w:szCs w:val="20"/>
              </w:rPr>
              <w:t xml:space="preserve">yntheses </w:t>
            </w:r>
            <w:r w:rsidR="00216CCD" w:rsidRPr="00216CCD">
              <w:rPr>
                <w:rFonts w:ascii="Times New Roman" w:hAnsi="Times New Roman"/>
                <w:sz w:val="20"/>
                <w:szCs w:val="20"/>
              </w:rPr>
              <w:t>(2D NMR)</w:t>
            </w:r>
            <w:r w:rsidR="000C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30</w:t>
            </w:r>
            <w:r w:rsidR="001534CB">
              <w:rPr>
                <w:rFonts w:ascii="Times New Roman" w:hAnsi="Times New Roman"/>
                <w:sz w:val="20"/>
                <w:szCs w:val="20"/>
              </w:rPr>
              <w:t>7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6037BE97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F828B3">
              <w:rPr>
                <w:rFonts w:ascii="Times New Roman" w:hAnsi="Times New Roman"/>
                <w:sz w:val="20"/>
                <w:szCs w:val="20"/>
              </w:rPr>
              <w:t xml:space="preserve">Niko </w:t>
            </w:r>
            <w:r w:rsidR="0075503B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="00F828B3">
              <w:rPr>
                <w:rFonts w:ascii="Times New Roman" w:hAnsi="Times New Roman"/>
                <w:sz w:val="20"/>
                <w:szCs w:val="20"/>
              </w:rPr>
              <w:t>Radulović</w:t>
            </w:r>
            <w:proofErr w:type="spellEnd"/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C24102B" w14:textId="1E8D237B" w:rsidR="00C16E7F" w:rsidRDefault="00CE7231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725D0E3" w14:textId="1C0F79EF" w:rsidR="00E43418" w:rsidRDefault="001534CB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Introduction </w:t>
            </w:r>
            <w:r>
              <w:rPr>
                <w:rFonts w:ascii="Times New Roman" w:hAnsi="Times New Roman"/>
                <w:sz w:val="20"/>
                <w:szCs w:val="20"/>
              </w:rPr>
              <w:t>to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 modern strategy, </w:t>
            </w:r>
            <w:proofErr w:type="gramStart"/>
            <w:r w:rsidRPr="001534CB">
              <w:rPr>
                <w:rFonts w:ascii="Times New Roman" w:hAnsi="Times New Roman"/>
                <w:sz w:val="20"/>
                <w:szCs w:val="20"/>
              </w:rPr>
              <w:t>tactics</w:t>
            </w:r>
            <w:proofErr w:type="gramEnd"/>
            <w:r w:rsidRPr="001534CB">
              <w:rPr>
                <w:rFonts w:ascii="Times New Roman" w:hAnsi="Times New Roman"/>
                <w:sz w:val="20"/>
                <w:szCs w:val="20"/>
              </w:rPr>
              <w:t xml:space="preserve"> and control in asymmetric organic syntheses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1BDC8D4F" w:rsidR="001534CB" w:rsidRPr="00CE7231" w:rsidRDefault="001534CB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4F67518" w14:textId="23A02101" w:rsidR="00C16E7F" w:rsidRDefault="00CE7231" w:rsidP="00C16E7F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B99EBB8" w14:textId="77777777" w:rsidR="00E43418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The student will master the basic principles of asymmetric synthesis (which includes the controlled generation of new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chiral centers and the recognition of available starting material that contains the same structural fragment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as the target molecule). Enabling the doctoral student to independently plan and realize the asymmetric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synthesis of organic compounds that have more chiral centers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B481AB" w14:textId="4ECD78A3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2110E08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5E9F342" w14:textId="5A04263A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1. Control of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tereochemistry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B80">
              <w:rPr>
                <w:rFonts w:ascii="Times New Roman" w:hAnsi="Times New Roman"/>
                <w:sz w:val="20"/>
                <w:szCs w:val="20"/>
              </w:rPr>
              <w:t>i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ntroduction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B25DCA7" w14:textId="6075588B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2. Control of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elative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tereochemistry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8EDCEC" w14:textId="10D2C968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3. Resolution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BDEC94" w14:textId="2B8A5473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4. Chiral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ool -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symmetric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ynthesis with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atural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roducts as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tarting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aterials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29AEFF" w14:textId="6734E8B0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5. Asymmetric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nduction I -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trategies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ased on the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ature of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eagents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2B668D" w14:textId="6E8E0BB0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 xml:space="preserve">6. Asymmetric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nduction II -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symmetric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atalysis: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>onstruction S-O and S-N bond</w:t>
            </w:r>
            <w:r w:rsidR="00330810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09D0A5" w14:textId="0184E0ED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7. Asymmetric induction III – asymmetric catalysis: construction of S-H and S-C bonds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F95FDDE" w14:textId="61B58A02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8. Asymmetric induction IV – strategies based on the nature of the substrate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391126" w14:textId="0C7C6B7D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9. Kinetic resolution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053E766" w14:textId="1C34438C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10. Enzymes: biological methods in asymmetric synthesis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E112FD" w14:textId="31CE3632" w:rsidR="001534CB" w:rsidRPr="001534CB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11. New chiral centers from old ones - enantiomerically pure compounds and sophisticated methods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162A0CD" w14:textId="1C1020FC" w:rsidR="00E43418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CB">
              <w:rPr>
                <w:rFonts w:ascii="Times New Roman" w:hAnsi="Times New Roman"/>
                <w:sz w:val="20"/>
                <w:szCs w:val="20"/>
              </w:rPr>
              <w:t>12. Strategy of asymmetric synthesis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534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7D27F804" w:rsidR="001534CB" w:rsidRPr="00B65D38" w:rsidRDefault="001534CB" w:rsidP="001534CB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E4341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573CBC5" w14:textId="038F0AC4" w:rsidR="00E43418" w:rsidRPr="00503B80" w:rsidRDefault="00503B80" w:rsidP="00503B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B80">
              <w:rPr>
                <w:rFonts w:ascii="Times New Roman" w:hAnsi="Times New Roman"/>
                <w:sz w:val="20"/>
                <w:szCs w:val="20"/>
              </w:rPr>
              <w:t>1. Paul Wyatt, Stuart Warren, Organic Synthesis, Strategy and Control, John Wiley &amp; Sons, 2007.</w:t>
            </w:r>
          </w:p>
          <w:p w14:paraId="68441527" w14:textId="7726C581" w:rsidR="00503B80" w:rsidRPr="00CE7231" w:rsidRDefault="00503B80" w:rsidP="00503B8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54B6CC93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503B80" w:rsidRPr="00503B80">
              <w:rPr>
                <w:rFonts w:ascii="Times New Roman" w:hAnsi="Times New Roman"/>
                <w:sz w:val="20"/>
                <w:szCs w:val="20"/>
              </w:rPr>
              <w:t>interactive lectures, homework, seminar, panel discussion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027BEA9B" w:rsidR="00B65D38" w:rsidRPr="00B65D38" w:rsidRDefault="00B65D38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65D38">
              <w:rPr>
                <w:rFonts w:ascii="Times New Roman" w:hAnsi="Times New Roman"/>
                <w:sz w:val="20"/>
                <w:szCs w:val="20"/>
              </w:rPr>
              <w:t xml:space="preserve">written exam </w:t>
            </w:r>
            <w:r w:rsidR="0075503B">
              <w:rPr>
                <w:rFonts w:ascii="Times New Roman" w:hAnsi="Times New Roman"/>
                <w:sz w:val="20"/>
                <w:szCs w:val="20"/>
              </w:rPr>
              <w:t>-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40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 xml:space="preserve"> presentation of homework </w:t>
            </w:r>
            <w:r w:rsidR="0075503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30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 xml:space="preserve"> practical exam </w:t>
            </w:r>
            <w:r w:rsidR="0075503B">
              <w:rPr>
                <w:rFonts w:ascii="Times New Roman" w:hAnsi="Times New Roman"/>
                <w:sz w:val="20"/>
                <w:szCs w:val="20"/>
              </w:rPr>
              <w:t>-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D38">
              <w:rPr>
                <w:rFonts w:ascii="Times New Roman" w:hAnsi="Times New Roman"/>
                <w:sz w:val="20"/>
                <w:szCs w:val="20"/>
              </w:rPr>
              <w:t>30</w:t>
            </w:r>
            <w:r w:rsidR="00E43418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47B45"/>
    <w:rsid w:val="000C5BD4"/>
    <w:rsid w:val="00120A0B"/>
    <w:rsid w:val="001534CB"/>
    <w:rsid w:val="001815B5"/>
    <w:rsid w:val="001E486E"/>
    <w:rsid w:val="001F0E37"/>
    <w:rsid w:val="001F526C"/>
    <w:rsid w:val="00216CCD"/>
    <w:rsid w:val="00266037"/>
    <w:rsid w:val="002A4B0C"/>
    <w:rsid w:val="00330810"/>
    <w:rsid w:val="00375D47"/>
    <w:rsid w:val="003B4EC9"/>
    <w:rsid w:val="004525D6"/>
    <w:rsid w:val="00474C37"/>
    <w:rsid w:val="0048349C"/>
    <w:rsid w:val="00503B80"/>
    <w:rsid w:val="005452A0"/>
    <w:rsid w:val="0057337A"/>
    <w:rsid w:val="00577CCF"/>
    <w:rsid w:val="00587F3E"/>
    <w:rsid w:val="006A01B9"/>
    <w:rsid w:val="006F5231"/>
    <w:rsid w:val="006F59DB"/>
    <w:rsid w:val="0075503B"/>
    <w:rsid w:val="00776EB4"/>
    <w:rsid w:val="007B6E97"/>
    <w:rsid w:val="00871839"/>
    <w:rsid w:val="009232D0"/>
    <w:rsid w:val="009503C3"/>
    <w:rsid w:val="00965F0F"/>
    <w:rsid w:val="009808F2"/>
    <w:rsid w:val="009C220E"/>
    <w:rsid w:val="009E32F4"/>
    <w:rsid w:val="00A671C6"/>
    <w:rsid w:val="00A8601C"/>
    <w:rsid w:val="00B65D38"/>
    <w:rsid w:val="00BB0BA6"/>
    <w:rsid w:val="00BE59D7"/>
    <w:rsid w:val="00BF752B"/>
    <w:rsid w:val="00C16E7F"/>
    <w:rsid w:val="00C341B2"/>
    <w:rsid w:val="00C4043C"/>
    <w:rsid w:val="00C47988"/>
    <w:rsid w:val="00CC3F76"/>
    <w:rsid w:val="00CD546A"/>
    <w:rsid w:val="00CE7231"/>
    <w:rsid w:val="00D939D4"/>
    <w:rsid w:val="00E43418"/>
    <w:rsid w:val="00E9057F"/>
    <w:rsid w:val="00F67284"/>
    <w:rsid w:val="00F828B3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62DA1-BB6F-4F39-BACD-ADF152438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7</cp:revision>
  <dcterms:created xsi:type="dcterms:W3CDTF">2022-12-23T15:34:00Z</dcterms:created>
  <dcterms:modified xsi:type="dcterms:W3CDTF">2022-12-24T18:29:00Z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