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693"/>
        <w:gridCol w:w="2454"/>
        <w:gridCol w:w="1231"/>
      </w:tblGrid>
      <w:tr w:rsidR="00CC3F76" w:rsidRPr="00B86797" w14:paraId="01A0D2A9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3CEA3FDD" w14:textId="5A7DB518" w:rsidR="00CC3F76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708FB" w:rsidRPr="00B86797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B86797" w14:paraId="4EB27B5B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11BE5AEA" w14:textId="08A62815" w:rsidR="00CC3F76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</w:t>
            </w:r>
            <w:r w:rsidR="0022347D"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title </w:t>
            </w:r>
            <w:r w:rsidR="0022347D" w:rsidRPr="00B86797">
              <w:rPr>
                <w:rFonts w:ascii="Times New Roman" w:hAnsi="Times New Roman"/>
                <w:sz w:val="20"/>
                <w:szCs w:val="20"/>
              </w:rPr>
              <w:t>Selected</w:t>
            </w:r>
            <w:r w:rsidR="00B93566" w:rsidRPr="00B86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>C</w:t>
            </w:r>
            <w:r w:rsidR="00B93566" w:rsidRPr="00B86797">
              <w:rPr>
                <w:rFonts w:ascii="Times New Roman" w:hAnsi="Times New Roman"/>
                <w:sz w:val="20"/>
                <w:szCs w:val="20"/>
              </w:rPr>
              <w:t xml:space="preserve">hapters of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>P</w:t>
            </w:r>
            <w:r w:rsidR="00B93566" w:rsidRPr="00B86797">
              <w:rPr>
                <w:rFonts w:ascii="Times New Roman" w:hAnsi="Times New Roman"/>
                <w:sz w:val="20"/>
                <w:szCs w:val="20"/>
              </w:rPr>
              <w:t xml:space="preserve">hysical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>C</w:t>
            </w:r>
            <w:r w:rsidR="00B93566" w:rsidRPr="00B86797">
              <w:rPr>
                <w:rFonts w:ascii="Times New Roman" w:hAnsi="Times New Roman"/>
                <w:sz w:val="20"/>
                <w:szCs w:val="20"/>
              </w:rPr>
              <w:t>hemistry (H218C)</w:t>
            </w:r>
          </w:p>
        </w:tc>
      </w:tr>
      <w:tr w:rsidR="00CC3F76" w:rsidRPr="00B86797" w14:paraId="358B3F50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303327D1" w14:textId="47FF2AB6" w:rsidR="00CC3F76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93566" w:rsidRPr="00B86797">
              <w:rPr>
                <w:rFonts w:ascii="Times New Roman" w:hAnsi="Times New Roman"/>
                <w:sz w:val="20"/>
                <w:szCs w:val="20"/>
              </w:rPr>
              <w:t>Sne</w:t>
            </w:r>
            <w:r w:rsidR="00A2267F" w:rsidRPr="00B86797">
              <w:rPr>
                <w:rFonts w:ascii="Times New Roman" w:hAnsi="Times New Roman"/>
                <w:sz w:val="20"/>
                <w:szCs w:val="20"/>
              </w:rPr>
              <w:t>ž</w:t>
            </w:r>
            <w:r w:rsidR="00B93566" w:rsidRPr="00B86797">
              <w:rPr>
                <w:rFonts w:ascii="Times New Roman" w:hAnsi="Times New Roman"/>
                <w:sz w:val="20"/>
                <w:szCs w:val="20"/>
              </w:rPr>
              <w:t>ana B. Tošić</w:t>
            </w:r>
          </w:p>
        </w:tc>
      </w:tr>
      <w:tr w:rsidR="00CC3F76" w:rsidRPr="00B86797" w14:paraId="7B6EE8FC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3A08B75B" w14:textId="2F3F3EFC" w:rsidR="00CC3F76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93566" w:rsidRPr="00B86797">
              <w:rPr>
                <w:rFonts w:ascii="Times New Roman" w:hAnsi="Times New Roman"/>
                <w:sz w:val="20"/>
                <w:szCs w:val="20"/>
              </w:rPr>
              <w:t>Elective</w:t>
            </w:r>
          </w:p>
        </w:tc>
      </w:tr>
      <w:tr w:rsidR="00CC3F76" w:rsidRPr="00B86797" w14:paraId="66D7AE4A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68ECFDF6" w14:textId="3C652F7C" w:rsidR="00CC3F76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B86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3566" w:rsidRPr="00B867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C3F76" w:rsidRPr="00B86797" w14:paraId="5F07BE5F" w14:textId="77777777" w:rsidTr="00A5739C">
        <w:trPr>
          <w:trHeight w:val="790"/>
          <w:jc w:val="center"/>
        </w:trPr>
        <w:tc>
          <w:tcPr>
            <w:tcW w:w="9350" w:type="dxa"/>
            <w:gridSpan w:val="4"/>
            <w:vAlign w:val="center"/>
          </w:tcPr>
          <w:p w14:paraId="314F2414" w14:textId="77777777" w:rsidR="00CC3F76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11DB7FA8" w:rsidR="00DC7B91" w:rsidRPr="00B86797" w:rsidRDefault="00AA44B8" w:rsidP="00AA44B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 xml:space="preserve">Acquisition of additional knowledge to upgrade the existing one in the following areas: aggregate states of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matter, thermodynamics, phase balance, colloids and macromolecules, kinetics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>,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 and electrochemistry. Acquiring knowledge about the importance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and connection between physical chemistry and other sciences and scientific disciplines. Developing the ability to apply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 acquired knowledge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concrete systems through the combination with acquired knowledge in physics and mathematics.</w:t>
            </w:r>
          </w:p>
        </w:tc>
      </w:tr>
      <w:tr w:rsidR="00CC3F76" w:rsidRPr="00B86797" w14:paraId="54DF42A7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53A7B65A" w14:textId="77777777" w:rsidR="00CC3F76" w:rsidRPr="00B86797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213D59B9" w14:textId="6900321F" w:rsidR="00AA44B8" w:rsidRPr="00B86797" w:rsidRDefault="00AA44B8" w:rsidP="006D324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 xml:space="preserve">The student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>can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29A59775" w14:textId="22535CDE" w:rsidR="00842710" w:rsidRPr="00B86797" w:rsidRDefault="00AA44B8" w:rsidP="006D324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-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interpret the characteristics and laws that apply to the four aggregate states</w:t>
            </w:r>
            <w:r w:rsidR="006D3247" w:rsidRPr="00B8679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6DA186A" w14:textId="731E85B0" w:rsidR="00842710" w:rsidRPr="00B86797" w:rsidRDefault="00842710" w:rsidP="006D324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A44B8" w:rsidRPr="00B86797">
              <w:rPr>
                <w:rFonts w:ascii="Times New Roman" w:hAnsi="Times New Roman"/>
                <w:sz w:val="20"/>
                <w:szCs w:val="20"/>
              </w:rPr>
              <w:t xml:space="preserve">apply the acquired knowledge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="00AA44B8" w:rsidRPr="00B86797">
              <w:rPr>
                <w:rFonts w:ascii="Times New Roman" w:hAnsi="Times New Roman"/>
                <w:sz w:val="20"/>
                <w:szCs w:val="20"/>
              </w:rPr>
              <w:t>chemical thermodynamics to the concept of statistical thermodynamics</w:t>
            </w:r>
            <w:r w:rsidR="006D3247" w:rsidRPr="00B8679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869438C" w14:textId="77B6192A" w:rsidR="00AA44B8" w:rsidRPr="00B86797" w:rsidRDefault="00AA44B8" w:rsidP="006D324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 xml:space="preserve">- apply the acquired knowledge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phase equilibrium to the monitoring and interpretation of more complex phase systems</w:t>
            </w:r>
            <w:r w:rsidR="006D3247" w:rsidRPr="00B8679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C6D6806" w14:textId="607585DC" w:rsidR="00AA44B8" w:rsidRPr="00B86797" w:rsidRDefault="00AA44B8" w:rsidP="006D324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 xml:space="preserve">- apply the acquired knowledge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the field of colloidally dispersed systems, macromolecules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>,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 and balance in </w:t>
            </w:r>
            <w:r w:rsidR="0022347D" w:rsidRPr="00B86797">
              <w:rPr>
                <w:rFonts w:ascii="Times New Roman" w:hAnsi="Times New Roman"/>
                <w:sz w:val="20"/>
                <w:szCs w:val="20"/>
              </w:rPr>
              <w:t>complex formation reactions</w:t>
            </w:r>
            <w:r w:rsidR="006D3247" w:rsidRPr="00B8679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93AF97D" w14:textId="02E97D67" w:rsidR="00AA44B8" w:rsidRPr="00B86797" w:rsidRDefault="00AA44B8" w:rsidP="006D324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- interpret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 principles and balances in chemical kinetics and electrochemistry from a thermodynamic point of view</w:t>
            </w:r>
            <w:r w:rsidR="006D3247" w:rsidRPr="00B8679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1B481AB" w14:textId="034056C6" w:rsidR="009174C9" w:rsidRPr="00B86797" w:rsidRDefault="00AA44B8" w:rsidP="006D324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- appl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>y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acquired knowledge </w:t>
            </w:r>
            <w:r w:rsidR="00842710" w:rsidRPr="00B86797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physical chemistry to problems in other sciences and scientific fields.</w:t>
            </w:r>
          </w:p>
        </w:tc>
      </w:tr>
      <w:tr w:rsidR="00CC3F76" w:rsidRPr="00B86797" w14:paraId="76444845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423F50C0" w14:textId="77777777" w:rsidR="00CE7231" w:rsidRPr="00B86797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B86797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F6C0A3A" w14:textId="0870945A" w:rsidR="00DC7B91" w:rsidRPr="00B86797" w:rsidRDefault="00AA44B8" w:rsidP="00AA44B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Selected chapters from the area of ​​the aggregate state of matter: gaseous state of matter, liquid state of matter, glassy state, liquid crystals, solid state of matter, gas plasma state</w:t>
            </w:r>
            <w:r w:rsidR="001666BF" w:rsidRPr="00B86797">
              <w:rPr>
                <w:rFonts w:ascii="Times New Roman" w:hAnsi="Times New Roman"/>
                <w:sz w:val="20"/>
                <w:szCs w:val="20"/>
              </w:rPr>
              <w:t>.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 Fundamentals and application of statistical thermodynamics. Connection between classical and statistical thermodynamics. Phase equilibrium - selected examples of one-component, two-</w:t>
            </w:r>
            <w:r w:rsidR="001666BF" w:rsidRPr="00B86797">
              <w:rPr>
                <w:rFonts w:ascii="Times New Roman" w:hAnsi="Times New Roman"/>
                <w:sz w:val="20"/>
                <w:szCs w:val="20"/>
              </w:rPr>
              <w:t>component,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 and three-component systems. Electrokinetic and optical properties of colloidal systems. Physical-chemical properties of macromolecules. Examples of reaction mechanisms (polymerization reactions, photochemical reactions). Basics of kinetic methods of analysis. Basics of equilibria in </w:t>
            </w:r>
            <w:r w:rsidR="00B77DD7" w:rsidRPr="00B86797">
              <w:rPr>
                <w:rFonts w:ascii="Times New Roman" w:hAnsi="Times New Roman"/>
                <w:sz w:val="20"/>
                <w:szCs w:val="20"/>
              </w:rPr>
              <w:t>complex formation reactions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. Chemical thermodynamics and kinetics. Chemical thermodynamics and electrochemistry.</w:t>
            </w:r>
            <w:r w:rsidR="00B77DD7" w:rsidRPr="00B86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Application of physical chemistry in other sciences and scientific disciplines (biology, biochemistry, environmental chemistry, technology, material chemistry, astrophysics, medicine).</w:t>
            </w:r>
          </w:p>
          <w:p w14:paraId="16C97736" w14:textId="77777777" w:rsidR="00AA44B8" w:rsidRPr="00B86797" w:rsidRDefault="00AA44B8" w:rsidP="00AA44B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15A30C79" w:rsidR="00AA44B8" w:rsidRPr="00B86797" w:rsidRDefault="00AA44B8" w:rsidP="00AA44B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 xml:space="preserve">Determination of the composition of the complex by different spectrophotometric methods. Determination of the equilibrium constant of the complex formation reaction spectrophotometrically. Determination of the thermodynamic parameters of the </w:t>
            </w:r>
            <w:r w:rsidR="00B77DD7" w:rsidRPr="00B86797">
              <w:rPr>
                <w:rFonts w:ascii="Times New Roman" w:hAnsi="Times New Roman"/>
                <w:sz w:val="20"/>
                <w:szCs w:val="20"/>
              </w:rPr>
              <w:t>complex formation reactions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. Determination of the rate constant, partial </w:t>
            </w:r>
            <w:r w:rsidR="00B77DD7" w:rsidRPr="00B86797">
              <w:rPr>
                <w:rFonts w:ascii="Times New Roman" w:hAnsi="Times New Roman"/>
                <w:sz w:val="20"/>
                <w:szCs w:val="20"/>
              </w:rPr>
              <w:t>orders,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 and total order of the reaction spectrophotometrically. Determination of thermodynamic parameters of the reaction based on kinetic-spectrophotometric measurements.</w:t>
            </w:r>
          </w:p>
        </w:tc>
      </w:tr>
      <w:tr w:rsidR="00CC3F76" w:rsidRPr="00B86797" w14:paraId="16EC7999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09581ADC" w14:textId="77777777" w:rsidR="009C220E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A0E9F10" w14:textId="0D31AC8A" w:rsidR="00AA44B8" w:rsidRPr="00B86797" w:rsidRDefault="00AA44B8" w:rsidP="006D32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 xml:space="preserve">1. Dragica Minić, Ankica Antić-Jovanović, </w:t>
            </w:r>
            <w:r w:rsidR="001348E9" w:rsidRPr="00B86797">
              <w:rPr>
                <w:rFonts w:ascii="Times New Roman" w:hAnsi="Times New Roman"/>
                <w:sz w:val="20"/>
                <w:szCs w:val="20"/>
              </w:rPr>
              <w:t>Fizička hemija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, Faculty of Physical Chemistry, Belgrade, 2005.</w:t>
            </w:r>
          </w:p>
          <w:p w14:paraId="046CBE55" w14:textId="2D7D572C" w:rsidR="00AA44B8" w:rsidRPr="00B86797" w:rsidRDefault="00AA44B8" w:rsidP="006D32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 xml:space="preserve">2. Mirjana Obradović, Dragan Veselinović, Predrag Đurđević, </w:t>
            </w:r>
            <w:r w:rsidR="00F50520" w:rsidRPr="00B86797">
              <w:rPr>
                <w:rFonts w:ascii="Times New Roman" w:hAnsi="Times New Roman"/>
                <w:sz w:val="20"/>
                <w:szCs w:val="20"/>
              </w:rPr>
              <w:t>Fizičko-hemijske metode ispitivanja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0520" w:rsidRPr="00B86797">
              <w:rPr>
                <w:rFonts w:ascii="Times New Roman" w:hAnsi="Times New Roman"/>
                <w:sz w:val="20"/>
                <w:szCs w:val="20"/>
              </w:rPr>
              <w:t xml:space="preserve">ravnoteža u </w:t>
            </w:r>
            <w:r w:rsidR="007962D6" w:rsidRPr="00B86797">
              <w:rPr>
                <w:rFonts w:ascii="Times New Roman" w:hAnsi="Times New Roman"/>
                <w:sz w:val="20"/>
                <w:szCs w:val="20"/>
              </w:rPr>
              <w:t>kompleksirajućim sredinama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, University of Niš, University of Belgrade, 1996.</w:t>
            </w:r>
          </w:p>
          <w:p w14:paraId="5ACE663E" w14:textId="77777777" w:rsidR="00AA44B8" w:rsidRPr="00B86797" w:rsidRDefault="00AA44B8" w:rsidP="006D32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3. Gordon M. Barrow, Physical Chemistry, The McGraw-Hill Companies, Inc., 1996.</w:t>
            </w:r>
          </w:p>
          <w:p w14:paraId="3B354E89" w14:textId="77777777" w:rsidR="00AA44B8" w:rsidRPr="00B86797" w:rsidRDefault="00AA44B8" w:rsidP="006D32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4. Engel Thomas, Physical Chemistry, Prentice Hall, Boston, 2010.</w:t>
            </w:r>
          </w:p>
          <w:p w14:paraId="68441527" w14:textId="2EBF9000" w:rsidR="00DC7B91" w:rsidRPr="00B86797" w:rsidRDefault="00AA44B8" w:rsidP="006D324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 xml:space="preserve">5. Nadežda Petranović, </w:t>
            </w:r>
            <w:r w:rsidR="007962D6" w:rsidRPr="00B86797">
              <w:rPr>
                <w:rFonts w:ascii="Times New Roman" w:hAnsi="Times New Roman"/>
                <w:sz w:val="20"/>
                <w:szCs w:val="20"/>
              </w:rPr>
              <w:t>Hemijska Termodinamika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, Faculty of Physical Chemistry, Belgrade, 1992.</w:t>
            </w:r>
          </w:p>
        </w:tc>
      </w:tr>
      <w:tr w:rsidR="00CC3F76" w:rsidRPr="00B86797" w14:paraId="537B245D" w14:textId="77777777" w:rsidTr="00AA44B8">
        <w:trPr>
          <w:trHeight w:val="227"/>
          <w:jc w:val="center"/>
        </w:trPr>
        <w:tc>
          <w:tcPr>
            <w:tcW w:w="2972" w:type="dxa"/>
            <w:vAlign w:val="center"/>
          </w:tcPr>
          <w:p w14:paraId="0901A2CD" w14:textId="23A0FD15" w:rsidR="00CC3F76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2693" w:type="dxa"/>
            <w:vAlign w:val="center"/>
          </w:tcPr>
          <w:p w14:paraId="1ECF3923" w14:textId="78C2B9F3" w:rsidR="00CC3F76" w:rsidRPr="00B86797" w:rsidRDefault="00AA44B8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B8679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86797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B86797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685" w:type="dxa"/>
            <w:gridSpan w:val="2"/>
            <w:vAlign w:val="center"/>
          </w:tcPr>
          <w:p w14:paraId="0ECFC311" w14:textId="56D0189C" w:rsidR="00CC3F76" w:rsidRPr="00B86797" w:rsidRDefault="00AA44B8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A5739C" w:rsidRPr="00B86797"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  <w:r w:rsidRPr="00B8679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CC3F76" w:rsidRPr="00B86797" w14:paraId="7C7979F7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59190542" w14:textId="77777777" w:rsidR="00CC3F76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1B0E7FB5" w:rsidR="00DC7B91" w:rsidRPr="00B86797" w:rsidRDefault="00AA44B8" w:rsidP="00A573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Lectures, interactive teaching, seminar</w:t>
            </w:r>
            <w:r w:rsidR="000A7306" w:rsidRPr="00B86797">
              <w:rPr>
                <w:rFonts w:ascii="Times New Roman" w:hAnsi="Times New Roman"/>
                <w:sz w:val="20"/>
                <w:szCs w:val="20"/>
              </w:rPr>
              <w:t>s</w:t>
            </w:r>
            <w:r w:rsidRPr="00B86797">
              <w:rPr>
                <w:rFonts w:ascii="Times New Roman" w:hAnsi="Times New Roman"/>
                <w:sz w:val="20"/>
                <w:szCs w:val="20"/>
              </w:rPr>
              <w:t>, consultations.</w:t>
            </w:r>
          </w:p>
        </w:tc>
      </w:tr>
      <w:tr w:rsidR="00CC3F76" w:rsidRPr="00B86797" w14:paraId="188E65A4" w14:textId="77777777" w:rsidTr="00A5739C">
        <w:trPr>
          <w:trHeight w:val="227"/>
          <w:jc w:val="center"/>
        </w:trPr>
        <w:tc>
          <w:tcPr>
            <w:tcW w:w="9350" w:type="dxa"/>
            <w:gridSpan w:val="4"/>
            <w:vAlign w:val="center"/>
          </w:tcPr>
          <w:p w14:paraId="5B48F290" w14:textId="53D1BF25" w:rsidR="00CC3F76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B86797" w14:paraId="5B494045" w14:textId="77777777" w:rsidTr="00AA44B8">
        <w:trPr>
          <w:trHeight w:val="227"/>
          <w:jc w:val="center"/>
        </w:trPr>
        <w:tc>
          <w:tcPr>
            <w:tcW w:w="2972" w:type="dxa"/>
            <w:vAlign w:val="center"/>
          </w:tcPr>
          <w:p w14:paraId="29DE0A90" w14:textId="3A0A4A88" w:rsidR="00CE7231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B86797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2693" w:type="dxa"/>
            <w:vAlign w:val="center"/>
          </w:tcPr>
          <w:p w14:paraId="464802D0" w14:textId="43818400" w:rsidR="00CE7231" w:rsidRPr="00B86797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86797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53A0D0DC" w14:textId="5530E330" w:rsidR="00CE7231" w:rsidRPr="00B86797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B86797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B86797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B7965F5" w14:textId="40198BF3" w:rsidR="00CE7231" w:rsidRPr="00B86797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B86797" w14:paraId="54F50D16" w14:textId="77777777" w:rsidTr="00A2267F">
        <w:trPr>
          <w:trHeight w:val="22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4336FDC" w14:textId="773C168A" w:rsidR="00CC3F76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B86797">
              <w:rPr>
                <w:rFonts w:ascii="Times New Roman" w:hAnsi="Times New Roman"/>
                <w:sz w:val="20"/>
                <w:szCs w:val="20"/>
                <w:lang w:val="sr-Latn-RS"/>
              </w:rPr>
              <w:t>Activity durung lectures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45707C3" w14:textId="7BF991F3" w:rsidR="00CC3F76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1B08F" w14:textId="46483C45" w:rsidR="00CC3F76" w:rsidRPr="00B86797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B86797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F4D4A" w14:textId="3013950B" w:rsidR="00CC3F76" w:rsidRPr="00B86797" w:rsidRDefault="00A5739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3F76" w:rsidRPr="00B86797" w14:paraId="37A6647C" w14:textId="77777777" w:rsidTr="00A2267F">
        <w:trPr>
          <w:trHeight w:val="22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5803F2E9" w14:textId="7B85C388" w:rsidR="00CC3F76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</w:pPr>
            <w:r w:rsidRPr="00B86797">
              <w:rPr>
                <w:rFonts w:ascii="Times New Roman" w:hAnsi="Times New Roman"/>
                <w:sz w:val="20"/>
                <w:szCs w:val="20"/>
                <w:lang w:val="sr-Latn-RS"/>
              </w:rPr>
              <w:lastRenderedPageBreak/>
              <w:t>Practical teaching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A8AC065" w14:textId="35DA76AF" w:rsidR="00CC3F76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39DD0" w14:textId="2E363CDD" w:rsidR="00CC3F76" w:rsidRPr="00B86797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9F41A" w14:textId="5C57D1AC" w:rsidR="00CC3F76" w:rsidRPr="00B86797" w:rsidRDefault="00A5739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C3F76" w:rsidRPr="00B86797" w14:paraId="35ADDEE1" w14:textId="77777777" w:rsidTr="00A2267F">
        <w:trPr>
          <w:trHeight w:val="22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DF70CD9" w14:textId="2F8BD76C" w:rsidR="00CC3F76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Teaching colloquia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9B4A82A" w14:textId="3C6F3F64" w:rsidR="00CC3F76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42A1A" w14:textId="77777777" w:rsidR="00CC3F76" w:rsidRPr="00B86797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FEEED" w14:textId="77777777" w:rsidR="00CC3F76" w:rsidRPr="00B86797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2267F" w:rsidRPr="00B86797" w14:paraId="09CDC286" w14:textId="77777777" w:rsidTr="00A2267F">
        <w:trPr>
          <w:trHeight w:val="22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003A38B" w14:textId="1DBFEE17" w:rsidR="00A2267F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6A5C078" w14:textId="056F287C" w:rsidR="00A2267F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679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5A58A" w14:textId="77777777" w:rsidR="00A2267F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C9931" w14:textId="77777777" w:rsidR="00A2267F" w:rsidRPr="00B86797" w:rsidRDefault="00A2267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Pr="00B86797" w:rsidRDefault="00FE06E8">
      <w:pPr>
        <w:rPr>
          <w:rFonts w:ascii="Times New Roman" w:hAnsi="Times New Roman"/>
          <w:sz w:val="20"/>
          <w:szCs w:val="20"/>
        </w:rPr>
      </w:pPr>
    </w:p>
    <w:sectPr w:rsidR="00FE06E8" w:rsidRPr="00B86797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629C" w14:textId="77777777" w:rsidR="004D7E72" w:rsidRDefault="004D7E72" w:rsidP="005C2F3C">
      <w:r>
        <w:separator/>
      </w:r>
    </w:p>
  </w:endnote>
  <w:endnote w:type="continuationSeparator" w:id="0">
    <w:p w14:paraId="2A8D3C5E" w14:textId="77777777" w:rsidR="004D7E72" w:rsidRDefault="004D7E72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2FBF" w14:textId="77777777" w:rsidR="004D7E72" w:rsidRDefault="004D7E72" w:rsidP="005C2F3C">
      <w:r>
        <w:separator/>
      </w:r>
    </w:p>
  </w:footnote>
  <w:footnote w:type="continuationSeparator" w:id="0">
    <w:p w14:paraId="19B5F70F" w14:textId="77777777" w:rsidR="004D7E72" w:rsidRDefault="004D7E72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C63C1"/>
    <w:multiLevelType w:val="hybridMultilevel"/>
    <w:tmpl w:val="86AAC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  <w:num w:numId="3" w16cid:durableId="17611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306"/>
    <w:rsid w:val="000B2C6F"/>
    <w:rsid w:val="000F2834"/>
    <w:rsid w:val="00120A0B"/>
    <w:rsid w:val="0012320C"/>
    <w:rsid w:val="001348E9"/>
    <w:rsid w:val="001550F1"/>
    <w:rsid w:val="001666BF"/>
    <w:rsid w:val="001815B5"/>
    <w:rsid w:val="001E486E"/>
    <w:rsid w:val="001F0E37"/>
    <w:rsid w:val="001F526C"/>
    <w:rsid w:val="00215E26"/>
    <w:rsid w:val="0022347D"/>
    <w:rsid w:val="00266037"/>
    <w:rsid w:val="002708FB"/>
    <w:rsid w:val="00271292"/>
    <w:rsid w:val="00297529"/>
    <w:rsid w:val="002A4B0C"/>
    <w:rsid w:val="002D2621"/>
    <w:rsid w:val="003312EE"/>
    <w:rsid w:val="00375288"/>
    <w:rsid w:val="00375D47"/>
    <w:rsid w:val="004525D6"/>
    <w:rsid w:val="00474C37"/>
    <w:rsid w:val="004764DD"/>
    <w:rsid w:val="0048349C"/>
    <w:rsid w:val="004D7E72"/>
    <w:rsid w:val="005452A0"/>
    <w:rsid w:val="0057337A"/>
    <w:rsid w:val="00577CCF"/>
    <w:rsid w:val="00587F3E"/>
    <w:rsid w:val="005C2F3C"/>
    <w:rsid w:val="00661A5D"/>
    <w:rsid w:val="006934CF"/>
    <w:rsid w:val="00693CF9"/>
    <w:rsid w:val="006A01B9"/>
    <w:rsid w:val="006D3247"/>
    <w:rsid w:val="006F5231"/>
    <w:rsid w:val="006F59DB"/>
    <w:rsid w:val="0073680B"/>
    <w:rsid w:val="007513C8"/>
    <w:rsid w:val="00776EB4"/>
    <w:rsid w:val="007962D6"/>
    <w:rsid w:val="007B6E97"/>
    <w:rsid w:val="00842710"/>
    <w:rsid w:val="00871839"/>
    <w:rsid w:val="008D0626"/>
    <w:rsid w:val="009174C9"/>
    <w:rsid w:val="009232D0"/>
    <w:rsid w:val="00965F0F"/>
    <w:rsid w:val="009808F2"/>
    <w:rsid w:val="009C220E"/>
    <w:rsid w:val="009E32F4"/>
    <w:rsid w:val="009F73AB"/>
    <w:rsid w:val="00A02309"/>
    <w:rsid w:val="00A2267F"/>
    <w:rsid w:val="00A5739C"/>
    <w:rsid w:val="00A671C6"/>
    <w:rsid w:val="00A7154A"/>
    <w:rsid w:val="00A8601C"/>
    <w:rsid w:val="00AA44B8"/>
    <w:rsid w:val="00B77DD7"/>
    <w:rsid w:val="00B86207"/>
    <w:rsid w:val="00B86797"/>
    <w:rsid w:val="00B87EEB"/>
    <w:rsid w:val="00B93566"/>
    <w:rsid w:val="00BB0BA6"/>
    <w:rsid w:val="00BF752B"/>
    <w:rsid w:val="00C341B2"/>
    <w:rsid w:val="00C47988"/>
    <w:rsid w:val="00CC3F76"/>
    <w:rsid w:val="00CD48CA"/>
    <w:rsid w:val="00CD546A"/>
    <w:rsid w:val="00CE7231"/>
    <w:rsid w:val="00D91CE4"/>
    <w:rsid w:val="00D939D4"/>
    <w:rsid w:val="00DC7B91"/>
    <w:rsid w:val="00DE7071"/>
    <w:rsid w:val="00DF21B2"/>
    <w:rsid w:val="00E9057F"/>
    <w:rsid w:val="00EB3669"/>
    <w:rsid w:val="00F07C96"/>
    <w:rsid w:val="00F4485C"/>
    <w:rsid w:val="00F50520"/>
    <w:rsid w:val="00F67284"/>
    <w:rsid w:val="00FA5352"/>
    <w:rsid w:val="00FE06E8"/>
    <w:rsid w:val="00FF40B3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42710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42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71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710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06928-287D-4870-9638-CDF0B126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a60c-396f-47c7-8b31-5822e2794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Snežana Tošić</cp:lastModifiedBy>
  <cp:revision>9</cp:revision>
  <dcterms:created xsi:type="dcterms:W3CDTF">2023-01-07T13:04:00Z</dcterms:created>
  <dcterms:modified xsi:type="dcterms:W3CDTF">2023-01-08T17:50:00Z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