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E13728" w:rsidTr="534C1A76" w14:paraId="4EC7EAB8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E13728" w:rsidP="00C568B9" w:rsidRDefault="00E13728" w14:paraId="378A46B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name="_Hlk122719515" w:id="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Pr="00092214" w:rsidR="00E13728" w:rsidTr="534C1A76" w14:paraId="7F9FF7E0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E13728" w:rsidP="00C568B9" w:rsidRDefault="00E13728" w14:paraId="66846191" w14:textId="478CA77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C51AE3">
              <w:rPr>
                <w:rFonts w:ascii="Times New Roman" w:hAnsi="Times New Roman"/>
                <w:sz w:val="20"/>
                <w:szCs w:val="20"/>
              </w:rPr>
              <w:t xml:space="preserve">Advanced environmental chemistry course </w:t>
            </w:r>
            <w:r>
              <w:rPr>
                <w:rFonts w:ascii="Times New Roman" w:hAnsi="Times New Roman"/>
                <w:sz w:val="20"/>
                <w:szCs w:val="20"/>
              </w:rPr>
              <w:t>(H</w:t>
            </w:r>
            <w:r w:rsidRPr="00E13728">
              <w:rPr>
                <w:rFonts w:ascii="Times New Roman" w:hAnsi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Pr="00092214" w:rsidR="00E13728" w:rsidTr="534C1A76" w14:paraId="7A4E49AE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0555FE" w:rsidR="00E13728" w:rsidP="00C568B9" w:rsidRDefault="00E13728" w14:paraId="36F5446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Tatjana D. Anđelković</w:t>
            </w:r>
          </w:p>
        </w:tc>
      </w:tr>
      <w:tr w:rsidRPr="00092214" w:rsidR="00E13728" w:rsidTr="534C1A76" w14:paraId="0FD60853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0555FE" w:rsidR="00E13728" w:rsidP="00C568B9" w:rsidRDefault="00E13728" w14:paraId="286D9AB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E13728" w:rsidTr="534C1A76" w14:paraId="198C8FBD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0555FE" w:rsidR="00E13728" w:rsidP="00C568B9" w:rsidRDefault="00E13728" w14:paraId="210A0C7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Pr="00092214" w:rsidR="00E13728" w:rsidTr="534C1A76" w14:paraId="49BED533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E13728" w:rsidP="00C568B9" w:rsidRDefault="00E13728" w14:paraId="4073181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0555FE" w:rsidR="00E13728" w:rsidP="00C568B9" w:rsidRDefault="00E13728" w14:paraId="1A6FAFFA" w14:textId="1192B2A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534C1A76" w:rsidR="044240DC">
              <w:rPr>
                <w:rFonts w:ascii="Times New Roman" w:hAnsi="Times New Roman"/>
                <w:sz w:val="20"/>
                <w:szCs w:val="20"/>
              </w:rPr>
              <w:t>Provide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knowledge about important chemical processes in the lithosphere, atmosphere, and hydrosphere.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Develop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abilities to solve theoretical and experimental problems in monitoring </w:t>
            </w:r>
            <w:r w:rsidRPr="534C1A76" w:rsidR="7F285305">
              <w:rPr>
                <w:rFonts w:ascii="Times New Roman" w:hAnsi="Times New Roman"/>
                <w:sz w:val="20"/>
                <w:szCs w:val="20"/>
              </w:rPr>
              <w:t>and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distribution of pollutants.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Us</w:t>
            </w:r>
            <w:r w:rsidRPr="534C1A76" w:rsidR="38EC3C8E">
              <w:rPr>
                <w:rFonts w:ascii="Times New Roman" w:hAnsi="Times New Roman"/>
                <w:sz w:val="20"/>
                <w:szCs w:val="20"/>
              </w:rPr>
              <w:t>e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software in geochemical modeling.</w:t>
            </w:r>
          </w:p>
        </w:tc>
      </w:tr>
      <w:tr w:rsidRPr="00092214" w:rsidR="00E13728" w:rsidTr="534C1A76" w14:paraId="7C863EC3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E13728" w:rsidP="00C568B9" w:rsidRDefault="00E13728" w14:paraId="3905D507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7B42E6" w:rsidR="00E13728" w:rsidP="00C568B9" w:rsidRDefault="00E13728" w14:paraId="2FCA3CAB" w14:textId="2A42525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34C1A76" w:rsidR="00E13728">
              <w:rPr>
                <w:rFonts w:ascii="Times New Roman" w:hAnsi="Times New Roman"/>
                <w:sz w:val="20"/>
                <w:szCs w:val="20"/>
              </w:rPr>
              <w:t>The student is able to: describe the chemical and physical characteristics of soil, water and air; explain how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salinization, acidification, change in redox status and soil contamination affects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ecological status of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soil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; draw and use diagrams </w:t>
            </w:r>
            <w:r w:rsidRPr="534C1A76" w:rsidR="281BFCE8">
              <w:rPr>
                <w:rFonts w:ascii="Times New Roman" w:hAnsi="Times New Roman"/>
                <w:sz w:val="20"/>
                <w:szCs w:val="20"/>
              </w:rPr>
              <w:t xml:space="preserve">for relation between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concentration of chemical species </w:t>
            </w:r>
            <w:r w:rsidRPr="534C1A76" w:rsidR="714AB0A6">
              <w:rPr>
                <w:rFonts w:ascii="Times New Roman" w:hAnsi="Times New Roman"/>
                <w:sz w:val="20"/>
                <w:szCs w:val="20"/>
              </w:rPr>
              <w:t>and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one and</w:t>
            </w:r>
            <w:r w:rsidRPr="534C1A76" w:rsidR="749ACB48">
              <w:rPr>
                <w:rFonts w:ascii="Times New Roman" w:hAnsi="Times New Roman"/>
                <w:sz w:val="20"/>
                <w:szCs w:val="20"/>
              </w:rPr>
              <w:t>/or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two variables; compare chemical processes in water in open and close</w:t>
            </w:r>
            <w:r w:rsidRPr="534C1A76" w:rsidR="223998A6">
              <w:rPr>
                <w:rFonts w:ascii="Times New Roman" w:hAnsi="Times New Roman"/>
                <w:sz w:val="20"/>
                <w:szCs w:val="20"/>
              </w:rPr>
              <w:t>d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systems; consider thermodynamic and kinetic control of atmospheric processes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using appropriate examples, as well as to determine the most important conditions for the development of photochemical reactions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in the atmosphere; model the distribution of metals of anthropogenic or natural origin in life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environment using computer speciation software; sample soil, air and water, prepare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samples for analysis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; achieve oral and written communication, independent work, self-organization and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professional work planning.</w:t>
            </w:r>
          </w:p>
        </w:tc>
      </w:tr>
      <w:tr w:rsidRPr="00092214" w:rsidR="00E13728" w:rsidTr="534C1A76" w14:paraId="340F5D2E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E13728" w:rsidP="00C568B9" w:rsidRDefault="00E13728" w14:paraId="4522CC74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E13728" w:rsidP="00C568B9" w:rsidRDefault="00E13728" w14:paraId="630A63A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="00E13728" w:rsidP="534C1A76" w:rsidRDefault="00E13728" w14:paraId="209E75AF" w14:textId="4D1A881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 w:val="1"/>
                <w:iCs w:val="1"/>
                <w:sz w:val="20"/>
                <w:szCs w:val="20"/>
              </w:rPr>
            </w:pP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Atmosphere - </w:t>
            </w:r>
            <w:r w:rsidRPr="534C1A76" w:rsidR="2D815F66">
              <w:rPr>
                <w:rFonts w:ascii="Times New Roman" w:hAnsi="Times New Roman"/>
                <w:sz w:val="20"/>
                <w:szCs w:val="20"/>
              </w:rPr>
              <w:t>layers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, profile, atmospheric reactions, calculations. Chemistry of the stratosphere. The origin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and decomposition of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ozone/oxygen. Catalytic decomposition of ozone. Chemistry of the troposphere. Smog.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Photochemical smog. Exhaust gases from internal combustion engines. Precipitation. Atmospheric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aerosols. Physical and chemical properties of soil. Soil leaching and erosion.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Soil acidification and salinization. Kinetics of chemical processes in soil. Redox processes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of soils.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Metals in soil. Hydrosphere. Physical and chemical characteristics of water. Distribution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of chemical species in aquatic environments (diagrams with one variable, diagrams with two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variables, </w:t>
            </w:r>
            <w:proofErr w:type="spellStart"/>
            <w:r w:rsidRPr="534C1A76" w:rsidR="00E13728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/pH diagrams). Measurement of </w:t>
            </w:r>
            <w:proofErr w:type="spellStart"/>
            <w:r w:rsidRPr="534C1A76" w:rsidR="00E13728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534C1A76" w:rsidR="00E13728">
              <w:rPr>
                <w:rFonts w:ascii="Times New Roman" w:hAnsi="Times New Roman"/>
                <w:sz w:val="20"/>
                <w:szCs w:val="20"/>
              </w:rPr>
              <w:t>. Gases in water (gases that react and do not react with water).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Organic matter in water (aquatic </w:t>
            </w:r>
            <w:proofErr w:type="spellStart"/>
            <w:r w:rsidRPr="534C1A76" w:rsidR="00E13728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substances). Metals in the hydrosphere (aqua metal complexes,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classification of metals, behavior of metals in the environment - example: calcium, cadmium, mercury, metallic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complexes with ligands of anthropogenic origin, suspended matter of the hydrosphere). Colloids and surfaces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(surface properties of colloidal materials, quantitative description of adsorption). Colloids and surfaces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(partition of organic matter between water and soil/sediment, colloidal materials in </w:t>
            </w:r>
            <w:r w:rsidRPr="534C1A76" w:rsidR="00BB23D3">
              <w:rPr>
                <w:rFonts w:ascii="Times New Roman" w:hAnsi="Times New Roman"/>
                <w:sz w:val="20"/>
                <w:szCs w:val="20"/>
              </w:rPr>
              <w:t>e</w:t>
            </w:r>
            <w:r w:rsidRPr="534C1A76" w:rsidR="00BB23D3">
              <w:rPr>
                <w:rFonts w:ascii="Times New Roman" w:hAnsi="Times New Roman"/>
                <w:sz w:val="20"/>
                <w:szCs w:val="20"/>
              </w:rPr>
              <w:t>nvironment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). Microbiological processes (classification of microorganisms, microbiological processes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–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carbon cycle, nitrogen cycle, sulfur cycle). Water pollution and wastewater treatment (communal water treatment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of wastewater, biological processes of phosphorus and nitrogen removal from wastewater, anaerobic digestion of sludge).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Organic biocides (chemical stability, mobility, leaching). Transformational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processes of organic biocides (hydrolysis, redox reactions, direct and indirect photolysis, biological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34C1A76" w:rsidR="00E13728">
              <w:rPr>
                <w:rFonts w:ascii="Times New Roman" w:hAnsi="Times New Roman"/>
                <w:sz w:val="20"/>
                <w:szCs w:val="20"/>
              </w:rPr>
              <w:t>transformations).</w:t>
            </w:r>
            <w:r w:rsidRPr="534C1A76" w:rsidR="00E1372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</w:p>
          <w:p w:rsidRPr="007B42E6" w:rsidR="00E13728" w:rsidP="00C568B9" w:rsidRDefault="00E13728" w14:paraId="7A1576E3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0555FE" w:rsidR="00E13728" w:rsidP="00C568B9" w:rsidRDefault="00BB23D3" w14:paraId="247EEB23" w14:textId="3C25C13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3D3">
              <w:rPr>
                <w:rFonts w:ascii="Times New Roman" w:hAnsi="Times New Roman"/>
                <w:sz w:val="20"/>
                <w:szCs w:val="20"/>
              </w:rPr>
              <w:t xml:space="preserve">Field sampling of air, </w:t>
            </w:r>
            <w:r w:rsidRPr="00BB23D3">
              <w:rPr>
                <w:rFonts w:ascii="Times New Roman" w:hAnsi="Times New Roman"/>
                <w:sz w:val="20"/>
                <w:szCs w:val="20"/>
              </w:rPr>
              <w:t>water,</w:t>
            </w:r>
            <w:r w:rsidRPr="00BB23D3">
              <w:rPr>
                <w:rFonts w:ascii="Times New Roman" w:hAnsi="Times New Roman"/>
                <w:sz w:val="20"/>
                <w:szCs w:val="20"/>
              </w:rPr>
              <w:t xml:space="preserve"> and soil</w:t>
            </w:r>
            <w:r w:rsidRPr="00BB23D3" w:rsidR="00E13728">
              <w:rPr>
                <w:rFonts w:ascii="Times New Roman" w:hAnsi="Times New Roman"/>
                <w:sz w:val="20"/>
                <w:szCs w:val="20"/>
              </w:rPr>
              <w:t>. Field analysis</w:t>
            </w:r>
            <w:r w:rsidRPr="00D629B1" w:rsidR="00E13728">
              <w:rPr>
                <w:rFonts w:ascii="Times New Roman" w:hAnsi="Times New Roman"/>
                <w:sz w:val="20"/>
                <w:szCs w:val="20"/>
              </w:rPr>
              <w:t xml:space="preserve"> of water quality parameters. Heavy</w:t>
            </w:r>
            <w:r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29B1" w:rsidR="00E13728">
              <w:rPr>
                <w:rFonts w:ascii="Times New Roman" w:hAnsi="Times New Roman"/>
                <w:sz w:val="20"/>
                <w:szCs w:val="20"/>
              </w:rPr>
              <w:t>metals in plant material. Chromium in wastewater. Orthophosphates in surface waters. Disinfectant</w:t>
            </w:r>
            <w:r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29B1" w:rsidR="00E13728">
              <w:rPr>
                <w:rFonts w:ascii="Times New Roman" w:hAnsi="Times New Roman"/>
                <w:sz w:val="20"/>
                <w:szCs w:val="20"/>
              </w:rPr>
              <w:t>means of water. Pesticide residues in soil and water samples. Modeling of processes in the environment.</w:t>
            </w:r>
            <w:r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29B1" w:rsidR="00E13728">
              <w:rPr>
                <w:rFonts w:ascii="Times New Roman" w:hAnsi="Times New Roman"/>
                <w:sz w:val="20"/>
                <w:szCs w:val="20"/>
              </w:rPr>
              <w:t>Using the MINTEQA2 software package. Solving a specific problem using software</w:t>
            </w:r>
            <w:r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29B1" w:rsidR="00E13728">
              <w:rPr>
                <w:rFonts w:ascii="Times New Roman" w:hAnsi="Times New Roman"/>
                <w:sz w:val="20"/>
                <w:szCs w:val="20"/>
              </w:rPr>
              <w:t>of the MINTEQA2 package. Construction and interpretation of pH-pC diagrams in closed and open systems.</w:t>
            </w:r>
            <w:r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29B1" w:rsidR="00E13728">
              <w:rPr>
                <w:rFonts w:ascii="Times New Roman" w:hAnsi="Times New Roman"/>
                <w:sz w:val="20"/>
                <w:szCs w:val="20"/>
              </w:rPr>
              <w:t>Using the pH-pC simulator software package. Using the FATE© program package for calculation</w:t>
            </w:r>
            <w:r w:rsidR="00E13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29B1" w:rsidR="00E13728">
              <w:rPr>
                <w:rFonts w:ascii="Times New Roman" w:hAnsi="Times New Roman"/>
                <w:sz w:val="20"/>
                <w:szCs w:val="20"/>
              </w:rPr>
              <w:t>transport of pollutants in rivers. Remote access GC/MS (NETCHEM remote access platform).</w:t>
            </w:r>
          </w:p>
        </w:tc>
      </w:tr>
      <w:tr w:rsidRPr="001815B5" w:rsidR="00E13728" w:rsidTr="534C1A76" w14:paraId="4C25303B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E13728" w:rsidP="00C568B9" w:rsidRDefault="00E13728" w14:paraId="4C7681C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="00E13728" w:rsidP="00C568B9" w:rsidRDefault="00E13728" w14:paraId="795DA7D9" w14:textId="5390A2F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P. Pfen</w:t>
            </w:r>
            <w:r w:rsidR="00BB23D3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t, Hemija životne sredine I deo, Zavod za udžbenike, Beograd, 2009.</w:t>
            </w:r>
          </w:p>
          <w:p w:rsidR="00E13728" w:rsidP="00C568B9" w:rsidRDefault="00E13728" w14:paraId="18FD3A01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D. Veselinović, I. Gržetić, Š. Đarmati, D. Marković, Fizičkohemijski osnovi zaštite životne sredine-izvori zagađenja, posledice I zaštita, knjiga druga, Naučna knjiga, Beograd, 1997.</w:t>
            </w:r>
          </w:p>
          <w:p w:rsidRPr="00D629B1" w:rsidR="00E13728" w:rsidP="00C568B9" w:rsidRDefault="00E13728" w14:paraId="45A6E9BE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t>3. Gary W. Van Loon, Stephen J. Duffy, Environmental chemistry – a global perspective, Oxford University</w:t>
            </w:r>
          </w:p>
          <w:p w:rsidRPr="00D629B1" w:rsidR="00E13728" w:rsidP="00C568B9" w:rsidRDefault="00E13728" w14:paraId="2F61EC66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lastRenderedPageBreak/>
              <w:t>Press, Oxford, 2000.</w:t>
            </w:r>
          </w:p>
          <w:p w:rsidRPr="00D629B1" w:rsidR="00E13728" w:rsidP="00C568B9" w:rsidRDefault="00E13728" w14:paraId="5AB6DEBE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t>4. Eldon D. Enger; Bradley F. Smith; Heidi Marcum; David A. Aborn; W. Merle Alexander, Field &amp; Laboratory</w:t>
            </w:r>
          </w:p>
          <w:p w:rsidRPr="00D629B1" w:rsidR="00E13728" w:rsidP="00C568B9" w:rsidRDefault="00E13728" w14:paraId="348C091F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t>Exercises in Environmental Science, McGraw-Hill Science Engineering, 1999.</w:t>
            </w:r>
          </w:p>
          <w:p w:rsidRPr="00D629B1" w:rsidR="00E13728" w:rsidP="00C568B9" w:rsidRDefault="00E13728" w14:paraId="7B46CBE4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t>5. Miroslav Radojević, Vladimir Bashkin, Practical Environmental Analysis, Royal Society of Chemistry,</w:t>
            </w:r>
          </w:p>
          <w:p w:rsidRPr="00D629B1" w:rsidR="00E13728" w:rsidP="00C568B9" w:rsidRDefault="00E13728" w14:paraId="6608DDAA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t>Cambridge, 1999.</w:t>
            </w:r>
          </w:p>
          <w:p w:rsidRPr="00D629B1" w:rsidR="00E13728" w:rsidP="00C568B9" w:rsidRDefault="00E13728" w14:paraId="7D2CBC10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7974FC">
              <w:rPr>
                <w:rFonts w:ascii="Times New Roman" w:hAnsi="Times New Roman"/>
                <w:sz w:val="20"/>
                <w:szCs w:val="20"/>
              </w:rPr>
              <w:t xml:space="preserve">A series of electronic teaching materials developed within the </w:t>
            </w:r>
            <w:r w:rsidRPr="00D629B1">
              <w:rPr>
                <w:rFonts w:ascii="Times New Roman" w:hAnsi="Times New Roman"/>
                <w:sz w:val="20"/>
                <w:szCs w:val="20"/>
              </w:rPr>
              <w:t xml:space="preserve">ERASMUS+ NETCHEM </w:t>
            </w:r>
            <w:r>
              <w:rPr>
                <w:rFonts w:ascii="Times New Roman" w:hAnsi="Times New Roman"/>
                <w:sz w:val="20"/>
                <w:szCs w:val="20"/>
              </w:rPr>
              <w:t>project</w:t>
            </w:r>
          </w:p>
          <w:p w:rsidRPr="00CE7231" w:rsidR="00E13728" w:rsidP="00C568B9" w:rsidRDefault="00E13728" w14:paraId="3837B4F0" w14:textId="7777777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29B1">
              <w:rPr>
                <w:rFonts w:ascii="Times New Roman" w:hAnsi="Times New Roman"/>
                <w:sz w:val="20"/>
                <w:szCs w:val="20"/>
              </w:rPr>
              <w:t>(http://mdl.netchem.ac.rs/course/view.php?id=3 )</w:t>
            </w:r>
          </w:p>
        </w:tc>
      </w:tr>
      <w:tr w:rsidRPr="00092214" w:rsidR="00E13728" w:rsidTr="534C1A76" w14:paraId="673492CB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E13728" w:rsidP="00C568B9" w:rsidRDefault="00E13728" w14:paraId="49B8277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Active teaching classes</w:t>
            </w:r>
          </w:p>
        </w:tc>
        <w:tc>
          <w:tcPr>
            <w:tcW w:w="3064" w:type="dxa"/>
            <w:gridSpan w:val="2"/>
            <w:tcMar/>
            <w:vAlign w:val="center"/>
          </w:tcPr>
          <w:p w:rsidRPr="00CE7231" w:rsidR="00E13728" w:rsidP="00C568B9" w:rsidRDefault="00E13728" w14:paraId="38CFE15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27" w:type="dxa"/>
            <w:gridSpan w:val="2"/>
            <w:tcMar/>
            <w:vAlign w:val="center"/>
          </w:tcPr>
          <w:p w:rsidRPr="00CE7231" w:rsidR="00E13728" w:rsidP="00C568B9" w:rsidRDefault="00E13728" w14:paraId="1A05AFC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Pr="00092214" w:rsidR="00E13728" w:rsidTr="534C1A76" w14:paraId="72EF74E6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E13728" w:rsidP="00C568B9" w:rsidRDefault="00E13728" w14:paraId="66F0767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7B42E6" w:rsidR="00E13728" w:rsidP="00C568B9" w:rsidRDefault="00E13728" w14:paraId="31FDDC0C" w14:textId="2409496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D629B1">
              <w:rPr>
                <w:rFonts w:ascii="Times New Roman" w:hAnsi="Times New Roman"/>
                <w:sz w:val="20"/>
                <w:szCs w:val="20"/>
              </w:rPr>
              <w:t>ectures, interactive teaching, laboratory work, consultations</w:t>
            </w:r>
            <w:r w:rsidR="00BB23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092214" w:rsidR="00E13728" w:rsidTr="534C1A76" w14:paraId="185F42BF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E13728" w:rsidP="00C568B9" w:rsidRDefault="00E13728" w14:paraId="676492C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E13728" w:rsidTr="534C1A76" w14:paraId="1DAA0EA4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E13728" w:rsidP="00C568B9" w:rsidRDefault="00E13728" w14:paraId="19904F3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tcMar/>
            <w:vAlign w:val="center"/>
          </w:tcPr>
          <w:p w:rsidRPr="00CE7231" w:rsidR="00E13728" w:rsidP="00C568B9" w:rsidRDefault="00E13728" w14:paraId="503AA7F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E13728" w:rsidP="00C568B9" w:rsidRDefault="00E13728" w14:paraId="7549E20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A8601C" w:rsidR="00E13728" w:rsidP="00C568B9" w:rsidRDefault="00E13728" w14:paraId="2E701A3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E13728" w:rsidTr="534C1A76" w14:paraId="1F7A1A3C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E13728" w:rsidP="00C568B9" w:rsidRDefault="00E13728" w14:paraId="2000639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tcMar/>
            <w:vAlign w:val="center"/>
          </w:tcPr>
          <w:p w:rsidRPr="007B42E6" w:rsidR="00E13728" w:rsidP="00C568B9" w:rsidRDefault="00E13728" w14:paraId="49F8C88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E13728" w:rsidP="00C568B9" w:rsidRDefault="00E13728" w14:paraId="6830EF5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7B42E6" w:rsidR="00E13728" w:rsidP="00C568B9" w:rsidRDefault="00E13728" w14:paraId="385B3E8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Pr="00092214" w:rsidR="00E13728" w:rsidTr="534C1A76" w14:paraId="1D5B71BF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E13728" w:rsidP="00C568B9" w:rsidRDefault="00E13728" w14:paraId="2A4D1FD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tcMar/>
            <w:vAlign w:val="center"/>
          </w:tcPr>
          <w:p w:rsidRPr="007B42E6" w:rsidR="00E13728" w:rsidP="00C568B9" w:rsidRDefault="00E13728" w14:paraId="6BCACC0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587F3E" w:rsidR="00E13728" w:rsidP="00C568B9" w:rsidRDefault="00E13728" w14:paraId="5E02E5D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6866B6" w:rsidR="00E13728" w:rsidP="00C568B9" w:rsidRDefault="00E13728" w14:paraId="303932B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Pr="00092214" w:rsidR="00E13728" w:rsidTr="534C1A76" w14:paraId="3AD50004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E13728" w:rsidP="00C568B9" w:rsidRDefault="00E13728" w14:paraId="5827690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tcMar/>
            <w:vAlign w:val="center"/>
          </w:tcPr>
          <w:p w:rsidRPr="007B42E6" w:rsidR="00E13728" w:rsidP="00C568B9" w:rsidRDefault="00E13728" w14:paraId="7AF4232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46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F67284" w:rsidR="00E13728" w:rsidP="00C568B9" w:rsidRDefault="00E13728" w14:paraId="02F6710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F67284" w:rsidR="00E13728" w:rsidP="00C568B9" w:rsidRDefault="00E13728" w14:paraId="435BFBB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E13728" w:rsidTr="534C1A76" w14:paraId="5838D405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A8601C" w:rsidR="00E13728" w:rsidP="00C568B9" w:rsidRDefault="00E13728" w14:paraId="186E641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tcMar/>
            <w:vAlign w:val="center"/>
          </w:tcPr>
          <w:p w:rsidRPr="00D767AC" w:rsidR="00E13728" w:rsidP="00C568B9" w:rsidRDefault="00E13728" w14:paraId="5E02502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E13728" w:rsidP="00C568B9" w:rsidRDefault="00E13728" w14:paraId="19CA79F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F67284" w:rsidR="00E13728" w:rsidP="00C568B9" w:rsidRDefault="00E13728" w14:paraId="07B57AE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:rsidR="00A331C8" w:rsidRDefault="00A331C8" w14:paraId="0E51D004" w14:textId="77777777"/>
    <w:sectPr w:rsidR="00A331C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0A"/>
    <w:rsid w:val="007049DE"/>
    <w:rsid w:val="00A331C8"/>
    <w:rsid w:val="00A43C0A"/>
    <w:rsid w:val="00BB23D3"/>
    <w:rsid w:val="00E13728"/>
    <w:rsid w:val="02BC1533"/>
    <w:rsid w:val="03A7EAA0"/>
    <w:rsid w:val="044240DC"/>
    <w:rsid w:val="0C5DD8F7"/>
    <w:rsid w:val="223998A6"/>
    <w:rsid w:val="281BFCE8"/>
    <w:rsid w:val="2D815F66"/>
    <w:rsid w:val="364F861E"/>
    <w:rsid w:val="37EB567F"/>
    <w:rsid w:val="38EC3C8E"/>
    <w:rsid w:val="3B22F741"/>
    <w:rsid w:val="534C1A76"/>
    <w:rsid w:val="714AB0A6"/>
    <w:rsid w:val="749ACB48"/>
    <w:rsid w:val="7F2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4273"/>
  <w15:chartTrackingRefBased/>
  <w15:docId w15:val="{258FF901-6D2B-403A-8BAE-9DD41A0D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3728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02E11-9884-48E8-978B-9E73E6D628ED}"/>
</file>

<file path=customXml/itemProps2.xml><?xml version="1.0" encoding="utf-8"?>
<ds:datastoreItem xmlns:ds="http://schemas.openxmlformats.org/officeDocument/2006/customXml" ds:itemID="{4B20BFC3-6C9A-4B44-9453-B90751F5EC9F}"/>
</file>

<file path=customXml/itemProps3.xml><?xml version="1.0" encoding="utf-8"?>
<ds:datastoreItem xmlns:ds="http://schemas.openxmlformats.org/officeDocument/2006/customXml" ds:itemID="{6719D9F5-D590-45C5-B8A8-ECC46DFFE6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Tošić</dc:creator>
  <keywords/>
  <dc:description/>
  <lastModifiedBy>Tatjana Anđelković</lastModifiedBy>
  <revision>4</revision>
  <dcterms:created xsi:type="dcterms:W3CDTF">2022-12-24T13:50:00.0000000Z</dcterms:created>
  <dcterms:modified xsi:type="dcterms:W3CDTF">2023-01-09T20:00:15.5304501Z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