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CE2245" w:rsidTr="4AA8AD30" w14:paraId="11452FCC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E2245" w:rsidP="00C568B9" w:rsidRDefault="00CE2245" w14:paraId="71A2E55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name="_Hlk122694012"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CE2245" w:rsidTr="4AA8AD30" w14:paraId="1A9CBE7A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E2245" w:rsidP="00C568B9" w:rsidRDefault="00CE2245" w14:paraId="26475BE2" w14:textId="29F38D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Agricultural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CE2245">
              <w:rPr>
                <w:rFonts w:ascii="Times New Roman" w:hAnsi="Times New Roman"/>
                <w:sz w:val="20"/>
                <w:szCs w:val="20"/>
              </w:rPr>
              <w:t>248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Pr="00092214" w:rsidR="00CE2245" w:rsidTr="4AA8AD30" w14:paraId="6F86EF7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CE2245" w:rsidP="00C568B9" w:rsidRDefault="00CE2245" w14:paraId="0A440BD7" w14:textId="52E641C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</w:pPr>
            <w:proofErr w:type="spellStart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Name</w:t>
            </w:r>
            <w:proofErr w:type="spellEnd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</w:t>
            </w:r>
            <w:proofErr w:type="spellEnd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/</w:t>
            </w:r>
            <w:proofErr w:type="spellStart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lecturers</w:t>
            </w:r>
            <w:proofErr w:type="spellEnd"/>
            <w:r w:rsidRPr="4AA8AD30" w:rsidR="00CE2245"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  <w:t xml:space="preserve"> </w:t>
            </w:r>
            <w:r w:rsidRPr="4AA8AD30" w:rsidR="7152358E">
              <w:rPr>
                <w:rFonts w:ascii="Times New Roman" w:hAnsi="Times New Roman"/>
                <w:sz w:val="20"/>
                <w:szCs w:val="20"/>
                <w:lang w:val="sr-Latn-RS"/>
              </w:rPr>
              <w:t>Tatjana D. Anđelković</w:t>
            </w:r>
            <w:r w:rsidRPr="4AA8AD30" w:rsidR="00CE2245">
              <w:rPr>
                <w:rFonts w:ascii="Times New Roman" w:hAnsi="Times New Roman"/>
                <w:sz w:val="20"/>
                <w:szCs w:val="20"/>
                <w:lang w:val="sr-Latn-RS"/>
              </w:rPr>
              <w:t>, Nikola D. Nikolić</w:t>
            </w:r>
          </w:p>
        </w:tc>
      </w:tr>
      <w:tr w:rsidRPr="00092214" w:rsidR="00CE2245" w:rsidTr="4AA8AD30" w14:paraId="6FFE9FD4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CE2245" w:rsidP="00C568B9" w:rsidRDefault="00CE2245" w14:paraId="269CFF6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Pr="00092214" w:rsidR="00CE2245" w:rsidTr="4AA8AD30" w14:paraId="2818DE5F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0555FE" w:rsidR="00CE2245" w:rsidP="00C568B9" w:rsidRDefault="00CE2245" w14:paraId="1646759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Pr="00092214" w:rsidR="00CE2245" w:rsidTr="4AA8AD30" w14:paraId="388BCBE2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2245" w:rsidP="00C568B9" w:rsidRDefault="00CE2245" w14:paraId="5D1799C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0555FE" w:rsidR="00CE2245" w:rsidP="00C568B9" w:rsidRDefault="00CE2245" w14:paraId="27DF31F2" w14:textId="79CF14B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4AA8AD30" w:rsidR="00CE2245">
              <w:rPr>
                <w:rFonts w:ascii="Times New Roman" w:hAnsi="Times New Roman"/>
                <w:sz w:val="20"/>
                <w:szCs w:val="20"/>
              </w:rPr>
              <w:t>The goal of the course is to enable the student to acquire knowledge about: chemical composition and processes</w:t>
            </w:r>
            <w:r w:rsidRPr="4AA8AD30" w:rsidR="00725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solid, liquid and gaseous phases of soil; chemical, physic</w:t>
            </w:r>
            <w:r w:rsidRPr="4AA8AD30" w:rsidR="27575083">
              <w:rPr>
                <w:rFonts w:ascii="Times New Roman" w:hAnsi="Times New Roman"/>
                <w:sz w:val="20"/>
                <w:szCs w:val="20"/>
              </w:rPr>
              <w:t>o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-chemical and biological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processes taking place in the soil; soil study methods; origin and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the total content of nutrients in the soil; accessibility of nutrients and their chemical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behavior in the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soil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; distribution, properties and effects of fertilizers; divisions, properties and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effects of pesticides; the origin and behavior of macro and microelements in the added soil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AA8AD30" w:rsidR="00CE2245">
              <w:rPr>
                <w:rFonts w:ascii="Times New Roman" w:hAnsi="Times New Roman"/>
                <w:sz w:val="20"/>
                <w:szCs w:val="20"/>
              </w:rPr>
              <w:t>fertilizers.</w:t>
            </w:r>
          </w:p>
        </w:tc>
      </w:tr>
      <w:tr w:rsidRPr="00092214" w:rsidR="00CE2245" w:rsidTr="4AA8AD30" w14:paraId="3BC8013D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2245" w:rsidP="00C568B9" w:rsidRDefault="00CE2245" w14:paraId="6619751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7B42E6" w:rsidR="00CE2245" w:rsidP="00C568B9" w:rsidRDefault="00CE2245" w14:paraId="7A9185D4" w14:textId="5A86B00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The student should be able to: describe chemical and physical characteristics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soil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; explain how salinization, acidification, change of redox status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soil contamination with metals affects the ecological status of the soil; understand the role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and behavior of inorganic compounds in the environment (fertilizers, additives, pesticides,</w:t>
            </w:r>
            <w:r w:rsidR="00725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fungicides, etc.); understand the processes that affect the accessibility of certain nutrients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soil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; know the properties of fertilizers and their influence on soil fertility, height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yield and product quality; know different ways of fertilization and is familiar with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measures in which the application of fertilizers will satisfy ecological requirements.</w:t>
            </w:r>
          </w:p>
        </w:tc>
      </w:tr>
      <w:tr w:rsidRPr="00092214" w:rsidR="00CE2245" w:rsidTr="4AA8AD30" w14:paraId="2809C715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2245" w:rsidP="00C568B9" w:rsidRDefault="00CE2245" w14:paraId="02E4584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CE2245" w:rsidP="00C568B9" w:rsidRDefault="00CE2245" w14:paraId="0D1C6555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CE2245" w:rsidP="00C568B9" w:rsidRDefault="00CE2245" w14:paraId="15681BD1" w14:textId="4DC133A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Chemical composition of the soil. The solid phase of the soil - inorganic components. Solid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soil phase - organic components. Balance between soil solution and solid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 xml:space="preserve">soil phases. Sorption phenomena on the soil. Ion exchange processes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="0072543D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soil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. Redox and pH status of the soil. Macro (N, P, K, Mg, Ca, S) and microelements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(Fe, B, Cu, Zn, Mn, Mo, Cl, Ni): origin and their total content in the soil, their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accessibility, and their chemical behavior in soil. Fertilizers (plant food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soil science, standard fertilizers, special fertilizers). Nitrogen fertilizers: basic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components of increased food, seed, and fiber production. Yield, nature, and factors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handling that affect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nitrogen use efficiency. New technologies for augmentation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efficiency of using nitrogen fertilizers. Phosphate fertilizers (composition, superphosphates,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ammonium phosphates, heavy metals in phosphate fertilizers). Fungicides. Insecticides.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Fertilizers and leaching of nitrates. Impact of agricultural pesticides on water quality.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Nitrogen in agriculture and in the atmosphere. Medicines and dietary additives, their use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animal husbandry and potential consequences for the environment. Heavy metals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soil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 xml:space="preserve"> and agricultural products.</w:t>
            </w:r>
          </w:p>
          <w:p w:rsidRPr="007B42E6" w:rsidR="00CE2245" w:rsidP="00C568B9" w:rsidRDefault="00CE2245" w14:paraId="55FFD24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AE4167" w:rsidR="00CE2245" w:rsidP="00C568B9" w:rsidRDefault="00CE2245" w14:paraId="52336CBC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Exercises: Artificial fertilizers. Systematization of fertilizers. Qualitative and quantitative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examinations. Legal regulations on the production, storage, and application of artificial fertilizers.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Availability and soil chemical behavior of heavy metals.</w:t>
            </w:r>
          </w:p>
          <w:p w:rsidRPr="000555FE" w:rsidR="00CE2245" w:rsidP="00C568B9" w:rsidRDefault="00CE2245" w14:paraId="19DF569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Experimental exercises: Qualitative and quantitative analysis of elements and compounds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in the natural environment. Qualitative and quantitative analysis of elements and compounds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artificial fertilizers. Qualitative and quantitative analysis of heavy metals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soil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 xml:space="preserve"> and agricultural products.</w:t>
            </w:r>
          </w:p>
        </w:tc>
      </w:tr>
      <w:tr w:rsidRPr="001815B5" w:rsidR="00CE2245" w:rsidTr="4AA8AD30" w14:paraId="16E0CF49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2245" w:rsidP="00C568B9" w:rsidRDefault="00CE2245" w14:paraId="1A273D8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="00CE2245" w:rsidP="00C568B9" w:rsidRDefault="00CE2245" w14:paraId="6E6F65A3" w14:textId="0D0DCC76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M. Jakovljević, M. Pantović, Hemija zemljišta </w:t>
            </w:r>
            <w:r w:rsidR="0072543D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voda, Naučna knjiga, Beograd, 1991.</w:t>
            </w:r>
          </w:p>
          <w:p w:rsidRPr="00AE4167" w:rsidR="00CE2245" w:rsidP="00C568B9" w:rsidRDefault="00CE2245" w14:paraId="429B0E02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2. Јohn R. Freney, Arvin Mosier, J. Kieth Syers, Agriculture and the Nitrogen Cycle: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Assessing the Impacts of Fertilizer Use on Food Production and the Environment (Scope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Series), Island Press, 2004.</w:t>
            </w:r>
          </w:p>
          <w:p w:rsidRPr="00AE4167" w:rsidR="00CE2245" w:rsidP="00C568B9" w:rsidRDefault="00CE2245" w14:paraId="51753CDD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3. Fraz Muler, Agrochemicals: Composition, Production, Toxicology, Applications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Wiley-VCH; 2000</w:t>
            </w:r>
          </w:p>
          <w:p w:rsidRPr="00B75691" w:rsidR="00CE2245" w:rsidP="00C568B9" w:rsidRDefault="00CE2245" w14:paraId="19ACD7D5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E4167">
              <w:rPr>
                <w:rFonts w:ascii="Times New Roman" w:hAnsi="Times New Roman"/>
                <w:sz w:val="20"/>
                <w:szCs w:val="20"/>
              </w:rPr>
              <w:t>4. Hester, R.E., Environment (Issues in Environmental Science and Technology, 5)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167">
              <w:rPr>
                <w:rFonts w:ascii="Times New Roman" w:hAnsi="Times New Roman"/>
                <w:sz w:val="20"/>
                <w:szCs w:val="20"/>
              </w:rPr>
              <w:t>Royal Society of Chemistry, 1996.</w:t>
            </w:r>
          </w:p>
        </w:tc>
      </w:tr>
      <w:tr w:rsidRPr="00092214" w:rsidR="00CE2245" w:rsidTr="4AA8AD30" w14:paraId="5123C306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CE2245" w:rsidP="00C568B9" w:rsidRDefault="00CE2245" w14:paraId="497CF33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tcMar/>
            <w:vAlign w:val="center"/>
          </w:tcPr>
          <w:p w:rsidRPr="00CE7231" w:rsidR="00CE2245" w:rsidP="00C568B9" w:rsidRDefault="00CE2245" w14:paraId="598C758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tcMar/>
            <w:vAlign w:val="center"/>
          </w:tcPr>
          <w:p w:rsidRPr="00CE7231" w:rsidR="00CE2245" w:rsidP="00C568B9" w:rsidRDefault="00CE2245" w14:paraId="7C868ED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 w:rsidRPr="006866B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Pr="00092214" w:rsidR="00CE2245" w:rsidTr="4AA8AD30" w14:paraId="5E039B44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CE2245" w:rsidP="00C568B9" w:rsidRDefault="00CE2245" w14:paraId="63FD981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7B42E6" w:rsidR="00CE2245" w:rsidP="00C568B9" w:rsidRDefault="00CE2245" w14:paraId="12BFAAA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555C">
              <w:rPr>
                <w:rFonts w:ascii="Times New Roman" w:hAnsi="Times New Roman"/>
                <w:sz w:val="20"/>
                <w:szCs w:val="20"/>
              </w:rPr>
              <w:t>Lectures, interactive teaching, theoretical exercises, laboratory exercises, seminars,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555C">
              <w:rPr>
                <w:rFonts w:ascii="Times New Roman" w:hAnsi="Times New Roman"/>
                <w:sz w:val="20"/>
                <w:szCs w:val="20"/>
              </w:rPr>
              <w:t>consultations.</w:t>
            </w:r>
          </w:p>
        </w:tc>
      </w:tr>
      <w:tr w:rsidRPr="00092214" w:rsidR="00CE2245" w:rsidTr="4AA8AD30" w14:paraId="020B63F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CE2245" w:rsidP="00C568B9" w:rsidRDefault="00CE2245" w14:paraId="4B68798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2245" w:rsidTr="4AA8AD30" w14:paraId="1740C3FF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CE2245" w:rsidP="00C568B9" w:rsidRDefault="00CE2245" w14:paraId="0A06195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Pre exam duties</w:t>
            </w:r>
          </w:p>
        </w:tc>
        <w:tc>
          <w:tcPr>
            <w:tcW w:w="1918" w:type="dxa"/>
            <w:tcMar/>
            <w:vAlign w:val="center"/>
          </w:tcPr>
          <w:p w:rsidRPr="00CE7231" w:rsidR="00CE2245" w:rsidP="00C568B9" w:rsidRDefault="00CE2245" w14:paraId="270659E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CE2245" w:rsidP="00C568B9" w:rsidRDefault="00CE2245" w14:paraId="39B3A7B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A8601C" w:rsidR="00CE2245" w:rsidP="00C568B9" w:rsidRDefault="00CE2245" w14:paraId="3C36A41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E2245" w:rsidTr="4AA8AD30" w14:paraId="26D3EB2A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E2245" w:rsidP="00C568B9" w:rsidRDefault="00CE2245" w14:paraId="2AABBA5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tcMar/>
            <w:vAlign w:val="center"/>
          </w:tcPr>
          <w:p w:rsidRPr="007B42E6" w:rsidR="00CE2245" w:rsidP="00C568B9" w:rsidRDefault="00CE2245" w14:paraId="191992D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CE2245" w:rsidP="00C568B9" w:rsidRDefault="00CE2245" w14:paraId="05235B7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7B42E6" w:rsidR="00CE2245" w:rsidP="00C568B9" w:rsidRDefault="00CE2245" w14:paraId="387976E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CE2245" w:rsidTr="4AA8AD30" w14:paraId="7A5DF50C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E2245" w:rsidP="00C568B9" w:rsidRDefault="00CE2245" w14:paraId="2AF1834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tcMar/>
            <w:vAlign w:val="center"/>
          </w:tcPr>
          <w:p w:rsidRPr="007B42E6" w:rsidR="00CE2245" w:rsidP="00C568B9" w:rsidRDefault="00CE2245" w14:paraId="0E45E62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587F3E" w:rsidR="00CE2245" w:rsidP="00C568B9" w:rsidRDefault="00CE2245" w14:paraId="2A9C2CB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6866B6" w:rsidR="00CE2245" w:rsidP="00C568B9" w:rsidRDefault="00CE2245" w14:paraId="446BE5D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</w:tr>
      <w:tr w:rsidRPr="00092214" w:rsidR="00CE2245" w:rsidTr="4AA8AD30" w14:paraId="57E00011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CE2245" w:rsidP="00C568B9" w:rsidRDefault="00CE2245" w14:paraId="018EBC2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tcMar/>
            <w:vAlign w:val="center"/>
          </w:tcPr>
          <w:p w:rsidRPr="007B42E6" w:rsidR="00CE2245" w:rsidP="00C568B9" w:rsidRDefault="00CE2245" w14:paraId="5BD5FD1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F67284" w:rsidR="00CE2245" w:rsidP="00C568B9" w:rsidRDefault="00CE2245" w14:paraId="3B5A2C2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CE2245" w:rsidP="00C568B9" w:rsidRDefault="00CE2245" w14:paraId="0D5D85B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E2245" w:rsidTr="4AA8AD30" w14:paraId="74A8A31F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A8601C" w:rsidR="00CE2245" w:rsidP="00C568B9" w:rsidRDefault="00CE2245" w14:paraId="476F81A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tcMar/>
            <w:vAlign w:val="center"/>
          </w:tcPr>
          <w:p w:rsidRPr="00D767AC" w:rsidR="00CE2245" w:rsidP="00C568B9" w:rsidRDefault="00CE2245" w14:paraId="1BCE296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CE2245" w:rsidP="00C568B9" w:rsidRDefault="00CE2245" w14:paraId="4F173BA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CE2245" w:rsidP="00C568B9" w:rsidRDefault="00CE2245" w14:paraId="4958F48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:rsidR="00A331C8" w:rsidRDefault="00A331C8" w14:paraId="1F371979" w14:textId="77777777"/>
    <w:sectPr w:rsidR="00A331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40"/>
    <w:rsid w:val="0072543D"/>
    <w:rsid w:val="00A331C8"/>
    <w:rsid w:val="00CE2245"/>
    <w:rsid w:val="00D86440"/>
    <w:rsid w:val="223EC68F"/>
    <w:rsid w:val="27575083"/>
    <w:rsid w:val="4AA8AD30"/>
    <w:rsid w:val="7152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A9A6"/>
  <w15:chartTrackingRefBased/>
  <w15:docId w15:val="{3042F11D-7466-496B-8045-190BE738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2245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BDD6E-412E-4055-A53C-B12DB0E7058D}"/>
</file>

<file path=customXml/itemProps2.xml><?xml version="1.0" encoding="utf-8"?>
<ds:datastoreItem xmlns:ds="http://schemas.openxmlformats.org/officeDocument/2006/customXml" ds:itemID="{F3EC737E-CD37-4765-9C87-31F5BCA22ED8}"/>
</file>

<file path=customXml/itemProps3.xml><?xml version="1.0" encoding="utf-8"?>
<ds:datastoreItem xmlns:ds="http://schemas.openxmlformats.org/officeDocument/2006/customXml" ds:itemID="{EC6AF7F2-A245-4870-A2F2-3BB7243AB9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Snežana Tošić</dc:creator>
  <keywords/>
  <dc:description/>
  <lastModifiedBy>Tatjana Anđelković</lastModifiedBy>
  <revision>4</revision>
  <dcterms:created xsi:type="dcterms:W3CDTF">2022-12-24T13:08:00.0000000Z</dcterms:created>
  <dcterms:modified xsi:type="dcterms:W3CDTF">2023-01-09T20:02:23.2972057Z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