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3A95D16C" w:rsidR="00CC3F76" w:rsidRPr="0054487B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487B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652194A8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="00FF704A" w:rsidRPr="00FF704A">
              <w:rPr>
                <w:rFonts w:ascii="Times New Roman" w:hAnsi="Times New Roman"/>
                <w:bCs/>
                <w:sz w:val="20"/>
                <w:szCs w:val="20"/>
              </w:rPr>
              <w:t>English language B2</w:t>
            </w:r>
            <w:bookmarkEnd w:id="0"/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3CC284D2" w:rsidR="00CC3F76" w:rsidRPr="00FF704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FF704A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FF704A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Nikola M. Tatar, Ivana M. Šorgić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57AB1282" w:rsidR="00CC3F76" w:rsidRPr="00FF704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FF704A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FF704A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Elective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5399CEBE" w:rsidR="00CC3F76" w:rsidRPr="00FF704A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FF704A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FF704A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4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F147635" w14:textId="312F8611" w:rsidR="00FF704A" w:rsidRPr="00FF704A" w:rsidRDefault="00FF704A" w:rsidP="00FF70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objective </w:t>
            </w: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is for students to develop receptive and produ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ctive language skills in higher </w:t>
            </w: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level in order to train them for independent oral and 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ritten communication in English </w:t>
            </w: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in their academic discipline, to familiarize themselves with the translati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on of specific terminology from </w:t>
            </w: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 xml:space="preserve">English to Serbian and vice versa, as well as to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improve</w:t>
            </w: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he skill of academic writing in </w:t>
            </w: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English language.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0736FBBE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1B481AB" w14:textId="6ED6FA9B" w:rsidR="00FF704A" w:rsidRPr="00FF704A" w:rsidRDefault="00FF704A" w:rsidP="00FF704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 xml:space="preserve">Students developed receptive and productive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language skills and improved oral and </w:t>
            </w: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written communication at level B2. Student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 adopted specific terminology, </w:t>
            </w: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acquired knowledge and skills on professional translation of text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 from English into Serbian and </w:t>
            </w: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vice versa. They also perfected written expression appropriate to the language of the profession.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63BF37F8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4858FF19" w14:textId="317A1A45" w:rsidR="00FF704A" w:rsidRPr="00FF704A" w:rsidRDefault="00FF704A" w:rsidP="00FF704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F704A">
              <w:rPr>
                <w:rFonts w:ascii="Times New Roman" w:hAnsi="Times New Roman"/>
                <w:iCs/>
                <w:sz w:val="20"/>
                <w:szCs w:val="20"/>
              </w:rPr>
              <w:t xml:space="preserve">1. </w:t>
            </w:r>
            <w:proofErr w:type="spellStart"/>
            <w:r w:rsidRPr="00FF704A">
              <w:rPr>
                <w:rFonts w:ascii="Times New Roman" w:hAnsi="Times New Roman"/>
                <w:iCs/>
                <w:sz w:val="20"/>
                <w:szCs w:val="20"/>
              </w:rPr>
              <w:t>Тhe</w:t>
            </w:r>
            <w:proofErr w:type="spellEnd"/>
            <w:r w:rsidRPr="00FF704A">
              <w:rPr>
                <w:rFonts w:ascii="Times New Roman" w:hAnsi="Times New Roman"/>
                <w:iCs/>
                <w:sz w:val="20"/>
                <w:szCs w:val="20"/>
              </w:rPr>
              <w:t xml:space="preserve"> tense system – revision; 2. Comparing and contrasting; 3. Narra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tive Tenses; 4.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Nominalisation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Pr="00FF704A">
              <w:rPr>
                <w:rFonts w:ascii="Times New Roman" w:hAnsi="Times New Roman"/>
                <w:iCs/>
                <w:sz w:val="20"/>
                <w:szCs w:val="20"/>
              </w:rPr>
              <w:t>5. Future forms; 6. Stating facts and opinions; 7. Modals and relat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ed verbs; 8. Cause &amp; effect; 9. </w:t>
            </w:r>
            <w:r w:rsidRPr="00FF704A">
              <w:rPr>
                <w:rFonts w:ascii="Times New Roman" w:hAnsi="Times New Roman"/>
                <w:iCs/>
                <w:sz w:val="20"/>
                <w:szCs w:val="20"/>
              </w:rPr>
              <w:t xml:space="preserve">Relative clauses, Participles; 10. Arguing and persuading;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11. Hypothesizing; 12. Hedging, </w:t>
            </w:r>
            <w:r w:rsidRPr="00FF704A">
              <w:rPr>
                <w:rFonts w:ascii="Times New Roman" w:hAnsi="Times New Roman"/>
                <w:iCs/>
                <w:sz w:val="20"/>
                <w:szCs w:val="20"/>
              </w:rPr>
              <w:t>Paraphrasing; 13. Articles, Determiners, Demonstratives; 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4. Using defining language; 15. </w:t>
            </w:r>
            <w:r w:rsidRPr="00FF704A">
              <w:rPr>
                <w:rFonts w:ascii="Times New Roman" w:hAnsi="Times New Roman"/>
                <w:iCs/>
                <w:sz w:val="20"/>
                <w:szCs w:val="20"/>
              </w:rPr>
              <w:t>Collocation; 16. Cohesion; 17. Review</w:t>
            </w:r>
          </w:p>
          <w:p w14:paraId="448BDA31" w14:textId="2802E1F1" w:rsidR="001815B5" w:rsidRDefault="00FF704A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Practical</w:t>
            </w:r>
            <w:r w:rsidR="00CE72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work</w:t>
            </w:r>
          </w:p>
          <w:p w14:paraId="291719C4" w14:textId="6F9BD73D" w:rsidR="00FF704A" w:rsidRPr="00FF704A" w:rsidRDefault="00FF704A" w:rsidP="00FF704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F704A">
              <w:rPr>
                <w:rFonts w:ascii="Times New Roman" w:hAnsi="Times New Roman"/>
                <w:iCs/>
                <w:sz w:val="20"/>
                <w:szCs w:val="20"/>
              </w:rPr>
              <w:t xml:space="preserve">Reading and translation of texts, discussion about the text, project work (work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in groups), communication (work </w:t>
            </w:r>
            <w:r w:rsidRPr="00FF704A">
              <w:rPr>
                <w:rFonts w:ascii="Times New Roman" w:hAnsi="Times New Roman"/>
                <w:iCs/>
                <w:sz w:val="20"/>
                <w:szCs w:val="20"/>
              </w:rPr>
              <w:t>in pairs), discussions (group work), writing texts.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89D3792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61A4C83D" w14:textId="464DE4DA" w:rsidR="00FF704A" w:rsidRPr="00FF704A" w:rsidRDefault="00FF704A" w:rsidP="00FF70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 xml:space="preserve">Soars, L., &amp; Soars, J. New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Headway – Upper-Intermediate. 4</w:t>
            </w:r>
            <w:r w:rsidRPr="00FF704A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th </w:t>
            </w: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ition Oxford: Oxford University </w:t>
            </w: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Press. Student’s book</w:t>
            </w:r>
          </w:p>
          <w:p w14:paraId="470BF7C9" w14:textId="0347F12F" w:rsidR="00FF704A" w:rsidRPr="00FF704A" w:rsidRDefault="00FF704A" w:rsidP="00FF70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 xml:space="preserve">Soars, L., &amp; Soars, J. New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Headway – Upper-Intermediate. 4</w:t>
            </w:r>
            <w:r w:rsidRPr="00FF704A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th</w:t>
            </w: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 xml:space="preserve"> 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ition Oxford: Oxford University </w:t>
            </w: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Press. Workbook</w:t>
            </w:r>
          </w:p>
          <w:p w14:paraId="419BED9F" w14:textId="77777777" w:rsidR="00FF704A" w:rsidRPr="00FF704A" w:rsidRDefault="00FF704A" w:rsidP="00FF70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Campbell, C. (2012). English for Academic Study: Vocabulary, Reading: Garnet Publishing Ltd.</w:t>
            </w:r>
          </w:p>
          <w:p w14:paraId="15F7B419" w14:textId="5F0230DC" w:rsidR="00FF704A" w:rsidRPr="00FF704A" w:rsidRDefault="00FF704A" w:rsidP="00FF70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Dictionary</w:t>
            </w: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 xml:space="preserve"> (Oxford, Longman, Collins </w:t>
            </w:r>
            <w:proofErr w:type="spellStart"/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Cobuild</w:t>
            </w:r>
            <w:proofErr w:type="spellEnd"/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5AC4D38F" w14:textId="77777777" w:rsidR="00FF704A" w:rsidRPr="00FF704A" w:rsidRDefault="00FF704A" w:rsidP="00FF70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Swan, M. (2009). Practical English Usage, Oxford: Oxford University Press.</w:t>
            </w:r>
          </w:p>
          <w:p w14:paraId="4BF502CB" w14:textId="77777777" w:rsidR="00FF704A" w:rsidRPr="00FF704A" w:rsidRDefault="00FF704A" w:rsidP="00FF70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Paterson, K., &amp; Wedge, R. (2018). Oxford Grammar for EAP. Oxford: Oxford University Press.</w:t>
            </w:r>
          </w:p>
          <w:p w14:paraId="68441527" w14:textId="11790A87" w:rsidR="00FF704A" w:rsidRPr="00FF704A" w:rsidRDefault="00FF704A" w:rsidP="00FF70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Velebná</w:t>
            </w:r>
            <w:proofErr w:type="spellEnd"/>
            <w:r w:rsidRPr="00FF704A">
              <w:rPr>
                <w:rFonts w:ascii="Times New Roman" w:hAnsi="Times New Roman"/>
                <w:bCs/>
                <w:sz w:val="20"/>
                <w:szCs w:val="20"/>
              </w:rPr>
              <w:t>, B. (2009). English for Chemists. https://www.upjs.sk/public/media/3499/English-forChemists.pdf.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5962E22B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4D641EF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F2152FD" w14:textId="431DF647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FF70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F704A" w:rsidRPr="00DA3380">
              <w:rPr>
                <w:rFonts w:ascii="Times New Roman" w:hAnsi="Times New Roman"/>
                <w:bCs/>
                <w:sz w:val="20"/>
                <w:szCs w:val="20"/>
              </w:rPr>
              <w:t>A combination of lectures and exercises. Work on the text, work in pairs, work in groups, project work, discussion, essay writing, role play, work with the use of computers/smartphones/tablets, hybrid teaching, etc.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6F7DD111" w:rsidR="00CC3F76" w:rsidRPr="00FF704A" w:rsidRDefault="00FF704A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15E24690" w:rsidR="00CC3F76" w:rsidRPr="00FF704A" w:rsidRDefault="00FF704A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7CEEA4D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24B9C90C" w:rsidR="00CC3F76" w:rsidRPr="00FF704A" w:rsidRDefault="00FF704A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48CA59C2" w:rsidR="00CC3F76" w:rsidRPr="00FF704A" w:rsidRDefault="00FF704A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349C"/>
    <w:rsid w:val="0054487B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76711-6138-46F6-88D9-09EA45B23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jelena</cp:lastModifiedBy>
  <cp:revision>2</cp:revision>
  <dcterms:created xsi:type="dcterms:W3CDTF">2022-12-23T15:01:00Z</dcterms:created>
  <dcterms:modified xsi:type="dcterms:W3CDTF">2022-12-23T15:01:00Z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