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7E6B96" w:rsidRPr="00092214" w14:paraId="24191E42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306815CD" w14:textId="77777777" w:rsidR="007E6B96" w:rsidRPr="00CE7231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7E6B96" w:rsidRPr="00092214" w14:paraId="15E5AB6A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72AA9A12" w14:textId="41A81A3A" w:rsidR="007E6B96" w:rsidRPr="00CE7231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="00EC1A52" w:rsidRPr="00EC1A52">
              <w:rPr>
                <w:rFonts w:ascii="Times New Roman" w:hAnsi="Times New Roman"/>
                <w:sz w:val="20"/>
                <w:szCs w:val="20"/>
              </w:rPr>
              <w:t xml:space="preserve">Environmental </w:t>
            </w:r>
            <w:r w:rsidR="00EC1A52">
              <w:rPr>
                <w:rFonts w:ascii="Times New Roman" w:hAnsi="Times New Roman"/>
                <w:sz w:val="20"/>
                <w:szCs w:val="20"/>
              </w:rPr>
              <w:t>a</w:t>
            </w:r>
            <w:r w:rsidR="00EC1A52" w:rsidRPr="00EC1A52">
              <w:rPr>
                <w:rFonts w:ascii="Times New Roman" w:hAnsi="Times New Roman"/>
                <w:sz w:val="20"/>
                <w:szCs w:val="20"/>
              </w:rPr>
              <w:t xml:space="preserve">nalytical </w:t>
            </w:r>
            <w:r w:rsidR="00EC1A52">
              <w:rPr>
                <w:rFonts w:ascii="Times New Roman" w:hAnsi="Times New Roman"/>
                <w:sz w:val="20"/>
                <w:szCs w:val="20"/>
              </w:rPr>
              <w:t>c</w:t>
            </w:r>
            <w:r w:rsidR="00EC1A52" w:rsidRPr="00EC1A52">
              <w:rPr>
                <w:rFonts w:ascii="Times New Roman" w:hAnsi="Times New Roman"/>
                <w:sz w:val="20"/>
                <w:szCs w:val="20"/>
              </w:rPr>
              <w:t>hemistry</w:t>
            </w:r>
            <w:r w:rsidR="00EC1A52" w:rsidRPr="00EC1A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7E6B96">
              <w:rPr>
                <w:rFonts w:ascii="Times New Roman" w:hAnsi="Times New Roman"/>
                <w:sz w:val="20"/>
                <w:szCs w:val="20"/>
              </w:rPr>
              <w:t>256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7E6B96" w:rsidRPr="00092214" w14:paraId="07FFFC54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6EDB330" w14:textId="77777777" w:rsidR="007E6B96" w:rsidRPr="000555FE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Sofija M. Rančić</w:t>
            </w:r>
          </w:p>
        </w:tc>
      </w:tr>
      <w:tr w:rsidR="007E6B96" w:rsidRPr="00092214" w14:paraId="7AC31FA7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27FC55D" w14:textId="77777777" w:rsidR="007E6B96" w:rsidRPr="000555FE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Elective</w:t>
            </w:r>
          </w:p>
        </w:tc>
      </w:tr>
      <w:tr w:rsidR="007E6B96" w:rsidRPr="00092214" w14:paraId="2E07638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AA24395" w14:textId="77777777" w:rsidR="007E6B96" w:rsidRPr="000555FE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6</w:t>
            </w:r>
          </w:p>
        </w:tc>
      </w:tr>
      <w:tr w:rsidR="007E6B96" w:rsidRPr="00092214" w14:paraId="15A8DA17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C82E971" w14:textId="77777777" w:rsidR="007E6B9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542905B" w14:textId="506C5BEA" w:rsidR="007E6B96" w:rsidRPr="000555FE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Introducing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 students with the application of different methods of analytical chemistry in monitoring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quality parameters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environment, methods of sampling, storage, and preparation of different types of samples (water, </w:t>
            </w:r>
            <w:r w:rsidR="00A633DF" w:rsidRPr="004F7413">
              <w:rPr>
                <w:rFonts w:ascii="Times New Roman" w:hAnsi="Times New Roman"/>
                <w:sz w:val="20"/>
                <w:szCs w:val="20"/>
              </w:rPr>
              <w:t>air,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soil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7E6B96" w:rsidRPr="00092214" w14:paraId="093FC44F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9C34E8B" w14:textId="77777777" w:rsidR="007E6B96" w:rsidRDefault="007E6B9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24A8E817" w14:textId="77777777" w:rsidR="007E6B96" w:rsidRPr="004F7413" w:rsidRDefault="007E6B96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Upon successful completion of this course, students are able to:</w:t>
            </w:r>
          </w:p>
          <w:p w14:paraId="7EDC79AB" w14:textId="680F0C6D" w:rsidR="007E6B96" w:rsidRPr="004F7413" w:rsidRDefault="007E6B96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numerate many analytical methods that are applied in the analysis of samples from the environment</w:t>
            </w:r>
            <w:r w:rsidR="00A633D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6B34819D" w14:textId="245CAB6F" w:rsidR="007E6B96" w:rsidRPr="004F7413" w:rsidRDefault="007E6B96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roperly take, store, and prepare samples from the environment (water, air, soil)</w:t>
            </w:r>
            <w:r w:rsidR="00A633D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85D64D6" w14:textId="4FEEAD03" w:rsidR="007E6B96" w:rsidRPr="004F7413" w:rsidRDefault="007E6B96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recise and accurate </w:t>
            </w:r>
            <w:r w:rsidR="00A633DF">
              <w:rPr>
                <w:rFonts w:ascii="Times New Roman" w:hAnsi="Times New Roman"/>
                <w:sz w:val="20"/>
                <w:szCs w:val="20"/>
              </w:rPr>
              <w:t>measure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 xml:space="preserve"> applying appropriate analytical methods</w:t>
            </w:r>
            <w:r w:rsidR="00A633D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1F248E0" w14:textId="12702675" w:rsidR="007E6B96" w:rsidRPr="004F7413" w:rsidRDefault="007E6B96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nterpret measurement results and draw conclusions about the quality of analytical information</w:t>
            </w:r>
            <w:r w:rsidR="00A633D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6E278C4" w14:textId="73800C3A" w:rsidR="007E6B96" w:rsidRPr="007B42E6" w:rsidRDefault="007E6B96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- recognize an analytical problem and find an appropriate method to solve it</w:t>
            </w:r>
            <w:r w:rsidR="00A633D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E6B96" w:rsidRPr="00092214" w14:paraId="1328D802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E5ABAA7" w14:textId="77777777" w:rsidR="007E6B96" w:rsidRDefault="007E6B9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9B77C19" w14:textId="77777777" w:rsidR="007E6B96" w:rsidRDefault="007E6B9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7F20A66B" w14:textId="77777777" w:rsidR="007E6B96" w:rsidRDefault="007E6B9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7413">
              <w:rPr>
                <w:rFonts w:ascii="Times New Roman" w:hAnsi="Times New Roman"/>
                <w:sz w:val="20"/>
                <w:szCs w:val="20"/>
              </w:rPr>
              <w:t>The place of classical and instrumental methods in the analysis of environmental quality parameters. Analysis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water. Taking, storing, and preparing water samples. Application of analytical methods to determine basic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water quality parameters. Determination of inorganic pollutants. Determination of organic pollutants.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Continuous and discontinuous methods of analysis of natural, waste and drinking water. Application of analytical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method in soil analysis. Soil sampling and sample preparation for analysis. Analytical methods for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air analysis. Air sampling. Solid adsorbents. Diffusion tubes. Gas detectors. Measurement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network and real-time monitoring. Sensors with remote measurement. Quality control of the measured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7413">
              <w:rPr>
                <w:rFonts w:ascii="Times New Roman" w:hAnsi="Times New Roman"/>
                <w:sz w:val="20"/>
                <w:szCs w:val="20"/>
              </w:rPr>
              <w:t>data.</w:t>
            </w:r>
          </w:p>
          <w:p w14:paraId="229D40D2" w14:textId="77777777" w:rsidR="007E6B96" w:rsidRPr="007B42E6" w:rsidRDefault="007E6B9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05CC8C23" w14:textId="77777777" w:rsidR="007E6B96" w:rsidRPr="000555FE" w:rsidRDefault="007E6B96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328">
              <w:rPr>
                <w:rFonts w:ascii="Times New Roman" w:hAnsi="Times New Roman"/>
                <w:sz w:val="20"/>
                <w:szCs w:val="20"/>
              </w:rPr>
              <w:t>Determination of ammonia in water. Determination of copper in water by spectrophotometric method. Determination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7328">
              <w:rPr>
                <w:rFonts w:ascii="Times New Roman" w:hAnsi="Times New Roman"/>
                <w:sz w:val="20"/>
                <w:szCs w:val="20"/>
              </w:rPr>
              <w:t>of phosphates in wastewater. Determination of phenol in water. Determination of heavy metals in soil. Determination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AB7328">
              <w:rPr>
                <w:rFonts w:ascii="Times New Roman" w:hAnsi="Times New Roman"/>
                <w:sz w:val="20"/>
                <w:szCs w:val="20"/>
              </w:rPr>
              <w:t>sulfur (IV)-oxide in the air.</w:t>
            </w:r>
          </w:p>
        </w:tc>
      </w:tr>
      <w:tr w:rsidR="007E6B96" w:rsidRPr="001815B5" w14:paraId="596A4F43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0F38E88" w14:textId="77777777" w:rsidR="007E6B9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3AAFCE06" w14:textId="77777777" w:rsidR="007E6B96" w:rsidRDefault="007E6B9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B732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S. Rančić, T. Anđelković, Analitička hemija životne sredine, Niš, 2010.</w:t>
            </w:r>
          </w:p>
          <w:p w14:paraId="057F9520" w14:textId="77777777" w:rsidR="007E6B96" w:rsidRPr="00AB7328" w:rsidRDefault="007E6B9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B7328">
              <w:rPr>
                <w:rFonts w:ascii="Times New Roman" w:hAnsi="Times New Roman"/>
                <w:sz w:val="20"/>
                <w:szCs w:val="20"/>
              </w:rPr>
              <w:t>2. C. H. Walker, S. P. Hopkin, R. M. Silby, D. B. Peakall, Principles of Ecotoxicology, London, 2006.</w:t>
            </w:r>
          </w:p>
          <w:p w14:paraId="0A88910B" w14:textId="77777777" w:rsidR="007E6B96" w:rsidRPr="00AB7328" w:rsidRDefault="007E6B96" w:rsidP="00C568B9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AB7328">
              <w:rPr>
                <w:rFonts w:ascii="Times New Roman" w:hAnsi="Times New Roman"/>
                <w:sz w:val="20"/>
                <w:szCs w:val="20"/>
              </w:rPr>
              <w:t>3. M. Radivojević, V. N. Bashkin, Practical environmental chemistry, Cambridge, Royal society of chemistry,</w:t>
            </w:r>
          </w:p>
          <w:p w14:paraId="3431111D" w14:textId="77777777" w:rsidR="007E6B96" w:rsidRPr="00CE7231" w:rsidRDefault="007E6B96" w:rsidP="00C568B9">
            <w:pPr>
              <w:tabs>
                <w:tab w:val="left" w:pos="567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B7328">
              <w:rPr>
                <w:rFonts w:ascii="Times New Roman" w:hAnsi="Times New Roman"/>
                <w:sz w:val="20"/>
                <w:szCs w:val="20"/>
              </w:rPr>
              <w:t>1999.</w:t>
            </w:r>
          </w:p>
        </w:tc>
      </w:tr>
      <w:tr w:rsidR="007E6B96" w:rsidRPr="00092214" w14:paraId="7776EBD0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5E6FB35A" w14:textId="77777777" w:rsidR="007E6B96" w:rsidRPr="00CE7231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7E4060C1" w14:textId="77777777" w:rsidR="007E6B96" w:rsidRPr="00CE7231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27" w:type="dxa"/>
            <w:gridSpan w:val="2"/>
            <w:vAlign w:val="center"/>
          </w:tcPr>
          <w:p w14:paraId="06CCBCE2" w14:textId="77777777" w:rsidR="007E6B96" w:rsidRPr="00CE7231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7E6B96" w:rsidRPr="00092214" w14:paraId="0C3AB605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8416FDE" w14:textId="77777777" w:rsidR="007E6B9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716D614D" w14:textId="77777777" w:rsidR="007E6B96" w:rsidRPr="007B42E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B7328">
              <w:rPr>
                <w:rFonts w:ascii="Times New Roman" w:hAnsi="Times New Roman"/>
                <w:sz w:val="20"/>
                <w:szCs w:val="20"/>
              </w:rPr>
              <w:t>Lectures, laboratory exercises, demonstrations, consultations.</w:t>
            </w:r>
          </w:p>
        </w:tc>
      </w:tr>
      <w:tr w:rsidR="007E6B96" w:rsidRPr="00092214" w14:paraId="2BA32EF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36598C9" w14:textId="77777777" w:rsidR="007E6B96" w:rsidRPr="00CE7231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7E6B96" w:rsidRPr="00092214" w14:paraId="1ADD382B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2E4E5CD4" w14:textId="77777777" w:rsidR="007E6B96" w:rsidRPr="00CE7231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0F4BFE58" w14:textId="77777777" w:rsidR="007E6B96" w:rsidRPr="00CE7231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1693AD3" w14:textId="77777777" w:rsidR="007E6B96" w:rsidRPr="0009221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D02AE14" w14:textId="77777777" w:rsidR="007E6B96" w:rsidRPr="00A8601C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7E6B96" w:rsidRPr="00092214" w14:paraId="33FFB4F9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33C089B0" w14:textId="77777777" w:rsidR="007E6B96" w:rsidRPr="0009221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7C6EE406" w14:textId="77777777" w:rsidR="007E6B96" w:rsidRPr="007B42E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52EB822" w14:textId="77777777" w:rsidR="007E6B96" w:rsidRPr="0009221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C5AD73B" w14:textId="77777777" w:rsidR="007E6B96" w:rsidRPr="007B42E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25</w:t>
            </w:r>
          </w:p>
        </w:tc>
      </w:tr>
      <w:tr w:rsidR="007E6B96" w:rsidRPr="00092214" w14:paraId="611505B0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73CE7352" w14:textId="77777777" w:rsidR="007E6B96" w:rsidRPr="0009221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522AF9D6" w14:textId="77777777" w:rsidR="007E6B96" w:rsidRPr="007B42E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5BF7A0E" w14:textId="77777777" w:rsidR="007E6B96" w:rsidRPr="00587F3E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2DBA59D5" w14:textId="77777777" w:rsidR="007E6B96" w:rsidRPr="006866B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25</w:t>
            </w:r>
          </w:p>
        </w:tc>
      </w:tr>
      <w:tr w:rsidR="007E6B96" w:rsidRPr="00092214" w14:paraId="38092886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7E880B73" w14:textId="77777777" w:rsidR="007E6B96" w:rsidRPr="0009221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442C24CD" w14:textId="77777777" w:rsidR="007E6B96" w:rsidRPr="007B42E6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C8CA735" w14:textId="77777777" w:rsidR="007E6B96" w:rsidRPr="00F6728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AF79B2E" w14:textId="77777777" w:rsidR="007E6B96" w:rsidRPr="00F6728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7E6B96" w:rsidRPr="00092214" w14:paraId="3CF8DA19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52647D69" w14:textId="77777777" w:rsidR="007E6B96" w:rsidRPr="00A8601C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742C1216" w14:textId="77777777" w:rsidR="007E6B96" w:rsidRPr="00D767AC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9BEDA3D" w14:textId="77777777" w:rsidR="007E6B96" w:rsidRPr="0009221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09C746EE" w14:textId="77777777" w:rsidR="007E6B96" w:rsidRPr="00F67284" w:rsidRDefault="007E6B96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47D8FCA6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56"/>
    <w:rsid w:val="00602E56"/>
    <w:rsid w:val="007E6B96"/>
    <w:rsid w:val="00A331C8"/>
    <w:rsid w:val="00A633DF"/>
    <w:rsid w:val="00E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BD49"/>
  <w15:chartTrackingRefBased/>
  <w15:docId w15:val="{E5545FD8-A63F-47D4-B037-C6722A86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B9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A48513-E7DA-4F60-8BF0-D744EBFDBEA0}"/>
</file>

<file path=customXml/itemProps2.xml><?xml version="1.0" encoding="utf-8"?>
<ds:datastoreItem xmlns:ds="http://schemas.openxmlformats.org/officeDocument/2006/customXml" ds:itemID="{50FB4155-F28B-4FC1-9B6E-EBE1A834617E}"/>
</file>

<file path=customXml/itemProps3.xml><?xml version="1.0" encoding="utf-8"?>
<ds:datastoreItem xmlns:ds="http://schemas.openxmlformats.org/officeDocument/2006/customXml" ds:itemID="{2742D1EF-8B12-4854-BC4E-61018B03C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4</cp:revision>
  <dcterms:created xsi:type="dcterms:W3CDTF">2022-12-25T10:24:00Z</dcterms:created>
  <dcterms:modified xsi:type="dcterms:W3CDTF">2022-12-25T10:36:00Z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