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657"/>
      </w:tblGrid>
      <w:tr w:rsidR="00CC3F76" w:rsidRPr="00092214" w14:paraId="01A0D2A9" w14:textId="77777777" w:rsidTr="00E2142A">
        <w:trPr>
          <w:trHeight w:val="227"/>
          <w:jc w:val="center"/>
        </w:trPr>
        <w:tc>
          <w:tcPr>
            <w:tcW w:w="9776" w:type="dxa"/>
            <w:gridSpan w:val="5"/>
            <w:vAlign w:val="center"/>
          </w:tcPr>
          <w:p w14:paraId="3CEA3FDD" w14:textId="107960B4" w:rsidR="00CC3F76" w:rsidRPr="00E2142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E2142A">
              <w:rPr>
                <w:rFonts w:ascii="Times New Roman" w:hAnsi="Times New Roman"/>
                <w:b/>
                <w:bCs/>
                <w:sz w:val="19"/>
                <w:szCs w:val="19"/>
              </w:rPr>
              <w:t>Study program</w:t>
            </w:r>
            <w:r w:rsidR="0076485C" w:rsidRPr="00E2142A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76485C" w:rsidRPr="00E2142A">
              <w:rPr>
                <w:rFonts w:ascii="Times New Roman" w:hAnsi="Times New Roman"/>
                <w:sz w:val="19"/>
                <w:szCs w:val="19"/>
              </w:rPr>
              <w:t>Chemistry</w:t>
            </w:r>
          </w:p>
        </w:tc>
      </w:tr>
      <w:tr w:rsidR="00CC3F76" w:rsidRPr="00092214" w14:paraId="4EB27B5B" w14:textId="77777777" w:rsidTr="00E2142A">
        <w:trPr>
          <w:trHeight w:val="227"/>
          <w:jc w:val="center"/>
        </w:trPr>
        <w:tc>
          <w:tcPr>
            <w:tcW w:w="9776" w:type="dxa"/>
            <w:gridSpan w:val="5"/>
            <w:vAlign w:val="center"/>
          </w:tcPr>
          <w:p w14:paraId="11BE5AEA" w14:textId="5DB77783" w:rsidR="00CC3F76" w:rsidRPr="00E2142A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E2142A">
              <w:rPr>
                <w:rFonts w:ascii="Times New Roman" w:hAnsi="Times New Roman"/>
                <w:b/>
                <w:bCs/>
                <w:sz w:val="19"/>
                <w:szCs w:val="19"/>
              </w:rPr>
              <w:t>Course title</w:t>
            </w:r>
            <w:r w:rsidR="0076485C" w:rsidRPr="00E2142A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DC2267">
              <w:rPr>
                <w:rFonts w:ascii="Times New Roman" w:hAnsi="Times New Roman"/>
                <w:sz w:val="19"/>
                <w:szCs w:val="19"/>
              </w:rPr>
              <w:t>Fundamentals</w:t>
            </w:r>
            <w:r w:rsidR="0076485C" w:rsidRPr="00E2142A">
              <w:rPr>
                <w:rFonts w:ascii="Times New Roman" w:hAnsi="Times New Roman"/>
                <w:sz w:val="19"/>
                <w:szCs w:val="19"/>
              </w:rPr>
              <w:t xml:space="preserve"> of materials te</w:t>
            </w:r>
            <w:r w:rsidR="00DC2267">
              <w:rPr>
                <w:rFonts w:ascii="Times New Roman" w:hAnsi="Times New Roman"/>
                <w:sz w:val="19"/>
                <w:szCs w:val="19"/>
              </w:rPr>
              <w:t>c</w:t>
            </w:r>
            <w:r w:rsidR="0076485C" w:rsidRPr="00E2142A">
              <w:rPr>
                <w:rFonts w:ascii="Times New Roman" w:hAnsi="Times New Roman"/>
                <w:sz w:val="19"/>
                <w:szCs w:val="19"/>
              </w:rPr>
              <w:t>hnology</w:t>
            </w:r>
          </w:p>
        </w:tc>
      </w:tr>
      <w:tr w:rsidR="00CC3F76" w:rsidRPr="00092214" w14:paraId="358B3F50" w14:textId="77777777" w:rsidTr="00E2142A">
        <w:trPr>
          <w:trHeight w:val="227"/>
          <w:jc w:val="center"/>
        </w:trPr>
        <w:tc>
          <w:tcPr>
            <w:tcW w:w="9776" w:type="dxa"/>
            <w:gridSpan w:val="5"/>
            <w:vAlign w:val="center"/>
          </w:tcPr>
          <w:p w14:paraId="303327D1" w14:textId="43896538" w:rsidR="00CC3F76" w:rsidRPr="00E2142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  <w:t>Name of lecturer/lecturers</w:t>
            </w:r>
            <w:r w:rsidR="0076485C" w:rsidRPr="00E2142A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76485C" w:rsidRPr="00E2142A">
              <w:rPr>
                <w:rFonts w:ascii="Times New Roman" w:hAnsi="Times New Roman"/>
                <w:sz w:val="19"/>
                <w:szCs w:val="19"/>
              </w:rPr>
              <w:t xml:space="preserve">Aleksandra R. </w:t>
            </w:r>
            <w:proofErr w:type="spellStart"/>
            <w:r w:rsidR="0076485C" w:rsidRPr="00E2142A">
              <w:rPr>
                <w:rFonts w:ascii="Times New Roman" w:hAnsi="Times New Roman"/>
                <w:sz w:val="19"/>
                <w:szCs w:val="19"/>
              </w:rPr>
              <w:t>Zarubica</w:t>
            </w:r>
            <w:proofErr w:type="spellEnd"/>
          </w:p>
        </w:tc>
      </w:tr>
      <w:tr w:rsidR="00CC3F76" w:rsidRPr="00092214" w14:paraId="7B6EE8FC" w14:textId="77777777" w:rsidTr="00E2142A">
        <w:trPr>
          <w:trHeight w:val="227"/>
          <w:jc w:val="center"/>
        </w:trPr>
        <w:tc>
          <w:tcPr>
            <w:tcW w:w="9776" w:type="dxa"/>
            <w:gridSpan w:val="5"/>
            <w:vAlign w:val="center"/>
          </w:tcPr>
          <w:p w14:paraId="3A08B75B" w14:textId="7554F30A" w:rsidR="00CC3F76" w:rsidRPr="00E2142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  <w:lang w:val="sr-Cyrl-CS"/>
              </w:rPr>
            </w:pPr>
            <w:r w:rsidRPr="00E2142A"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  <w:t>Type of course</w:t>
            </w:r>
            <w:r w:rsidR="0076485C" w:rsidRPr="00E2142A">
              <w:rPr>
                <w:rFonts w:ascii="Times New Roman" w:hAnsi="Times New Roman"/>
                <w:sz w:val="19"/>
                <w:szCs w:val="19"/>
              </w:rPr>
              <w:t xml:space="preserve"> Elective</w:t>
            </w:r>
          </w:p>
        </w:tc>
      </w:tr>
      <w:tr w:rsidR="00CC3F76" w:rsidRPr="00092214" w14:paraId="66D7AE4A" w14:textId="77777777" w:rsidTr="00E2142A">
        <w:trPr>
          <w:trHeight w:val="227"/>
          <w:jc w:val="center"/>
        </w:trPr>
        <w:tc>
          <w:tcPr>
            <w:tcW w:w="9776" w:type="dxa"/>
            <w:gridSpan w:val="5"/>
            <w:vAlign w:val="center"/>
          </w:tcPr>
          <w:p w14:paraId="68ECFDF6" w14:textId="49C96993" w:rsidR="00CC3F76" w:rsidRPr="00E2142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E2142A"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  <w:t>Number of ECTS allocated</w:t>
            </w:r>
            <w:r w:rsidR="0076485C" w:rsidRPr="00E2142A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76485C" w:rsidRPr="00E2142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CC3F76" w:rsidRPr="00092214" w14:paraId="5F07BE5F" w14:textId="77777777" w:rsidTr="00E2142A">
        <w:trPr>
          <w:trHeight w:val="227"/>
          <w:jc w:val="center"/>
        </w:trPr>
        <w:tc>
          <w:tcPr>
            <w:tcW w:w="9776" w:type="dxa"/>
            <w:gridSpan w:val="5"/>
            <w:vAlign w:val="center"/>
          </w:tcPr>
          <w:p w14:paraId="54B27E40" w14:textId="77777777" w:rsidR="00CC3F76" w:rsidRPr="00E2142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b/>
                <w:bCs/>
                <w:sz w:val="19"/>
                <w:szCs w:val="19"/>
              </w:rPr>
              <w:t>Course objectives</w:t>
            </w:r>
          </w:p>
          <w:p w14:paraId="4F147635" w14:textId="2F9E245C" w:rsidR="0076485C" w:rsidRPr="00E2142A" w:rsidRDefault="0076485C" w:rsidP="0076485C">
            <w:pPr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iCs/>
                <w:sz w:val="19"/>
                <w:szCs w:val="19"/>
              </w:rPr>
              <w:t xml:space="preserve">Earning basic knowledge of designing and synthesis of traditional and modern materials, and basic chemical reactions that take place during synthesis. Adopting of basic knowledge, earning ability and experiences in </w:t>
            </w:r>
            <w:proofErr w:type="spellStart"/>
            <w:r w:rsidRPr="00E2142A">
              <w:rPr>
                <w:rFonts w:ascii="Times New Roman" w:hAnsi="Times New Roman"/>
                <w:iCs/>
                <w:sz w:val="19"/>
                <w:szCs w:val="19"/>
              </w:rPr>
              <w:t>physico</w:t>
            </w:r>
            <w:proofErr w:type="spellEnd"/>
            <w:r w:rsidRPr="00E2142A">
              <w:rPr>
                <w:rFonts w:ascii="Times New Roman" w:hAnsi="Times New Roman"/>
                <w:iCs/>
                <w:sz w:val="19"/>
                <w:szCs w:val="19"/>
              </w:rPr>
              <w:t>-chemical characterization of materials, and their application in selected processes – heterogeneous catalysis and/or adsorption</w:t>
            </w:r>
            <w:r w:rsidRPr="00E2142A">
              <w:rPr>
                <w:rFonts w:ascii="Candara" w:hAnsi="Candara"/>
                <w:i/>
                <w:sz w:val="19"/>
                <w:szCs w:val="19"/>
              </w:rPr>
              <w:t>.</w:t>
            </w:r>
          </w:p>
        </w:tc>
      </w:tr>
      <w:tr w:rsidR="00CC3F76" w:rsidRPr="00092214" w14:paraId="54DF42A7" w14:textId="77777777" w:rsidTr="00E2142A">
        <w:trPr>
          <w:trHeight w:val="227"/>
          <w:jc w:val="center"/>
        </w:trPr>
        <w:tc>
          <w:tcPr>
            <w:tcW w:w="9776" w:type="dxa"/>
            <w:gridSpan w:val="5"/>
            <w:vAlign w:val="center"/>
          </w:tcPr>
          <w:p w14:paraId="7B87BBD4" w14:textId="77777777" w:rsidR="00CC3F76" w:rsidRPr="00E2142A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b/>
                <w:bCs/>
                <w:sz w:val="19"/>
                <w:szCs w:val="19"/>
              </w:rPr>
              <w:t>Course outcomes</w:t>
            </w:r>
          </w:p>
          <w:p w14:paraId="11B481AB" w14:textId="3923EC84" w:rsidR="0076485C" w:rsidRPr="00E2142A" w:rsidRDefault="0076485C" w:rsidP="0076485C">
            <w:pPr>
              <w:contextualSpacing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sz w:val="19"/>
                <w:szCs w:val="19"/>
              </w:rPr>
              <w:t>Upon successful completion of this course, student should be able to: set basic elements and parameters of material synthesis of given chemical composition; list basic chemical and physical-chemical reactions that take place during synthesis; list and compare basic physical-chemical methods for materials characterization; predict and explain influence of selected fundamental physical-chemical characteristics of materials in manner of their efficiency during application; draw basic graphic dependences of selected characteristics of materials with demonstrated activities in simple/particular application processes; Adequately present fundamental and empirical data in oral and/or written form.</w:t>
            </w:r>
          </w:p>
        </w:tc>
      </w:tr>
      <w:tr w:rsidR="00CC3F76" w:rsidRPr="00092214" w14:paraId="76444845" w14:textId="77777777" w:rsidTr="00E2142A">
        <w:trPr>
          <w:trHeight w:val="227"/>
          <w:jc w:val="center"/>
        </w:trPr>
        <w:tc>
          <w:tcPr>
            <w:tcW w:w="9776" w:type="dxa"/>
            <w:gridSpan w:val="5"/>
            <w:vAlign w:val="center"/>
          </w:tcPr>
          <w:p w14:paraId="423F50C0" w14:textId="77777777" w:rsidR="00CE7231" w:rsidRPr="00E2142A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  <w:r w:rsidRPr="00E2142A"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  <w:t>SYLLABUS</w:t>
            </w:r>
          </w:p>
          <w:p w14:paraId="41C06159" w14:textId="64616B0A" w:rsidR="009C220E" w:rsidRPr="00E2142A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i/>
                <w:iCs/>
                <w:sz w:val="19"/>
                <w:szCs w:val="19"/>
              </w:rPr>
              <w:t>Lectures</w:t>
            </w:r>
          </w:p>
          <w:p w14:paraId="228E658D" w14:textId="556870B2" w:rsidR="0076485C" w:rsidRPr="00E2142A" w:rsidRDefault="0076485C" w:rsidP="0076485C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2142A">
              <w:rPr>
                <w:rFonts w:ascii="Times New Roman" w:hAnsi="Times New Roman"/>
                <w:sz w:val="19"/>
                <w:szCs w:val="19"/>
              </w:rPr>
              <w:t>Basics of ceramic materials processing; Relationship of processing, structure and characteristics of materials; Synthesis of ceramic powders: Creating/formation of solid phase particles; Traditional methods of ceramic powders synthesis: Methods of synthesis from solid phase; Modern methods of ceramic powders synthesis: Liquid phase synthesis; Ceramic powders synthesis by spraying; Steam/gas phase synthesis of ceramic powders; Preparation of polycrystalline monolithic ceramics – stages in process obtaining, shaping as a phase in processing of ceramic materials; Drying as a phase in ceramic materials processing; Sintering as a phase in ceramic materials processing; Application of ceramic powders and polycrystalline monolithic ceramics; Glass – basic characteristics of process obtaining, preparation of glasses by merging method;  Sintering processing in glasses production.</w:t>
            </w:r>
          </w:p>
          <w:p w14:paraId="4FAE4285" w14:textId="77777777" w:rsidR="001815B5" w:rsidRPr="00E2142A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i/>
                <w:iCs/>
                <w:sz w:val="19"/>
                <w:szCs w:val="19"/>
              </w:rPr>
              <w:t>Laboratory work</w:t>
            </w:r>
          </w:p>
          <w:p w14:paraId="291719C4" w14:textId="23F09CB0" w:rsidR="0076485C" w:rsidRPr="00E2142A" w:rsidRDefault="0076485C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sz w:val="19"/>
                <w:szCs w:val="19"/>
              </w:rPr>
              <w:t>Synthesis of MO</w:t>
            </w:r>
            <w:r w:rsidRPr="00E2142A">
              <w:rPr>
                <w:rFonts w:ascii="Times New Roman" w:hAnsi="Times New Roman"/>
                <w:sz w:val="19"/>
                <w:szCs w:val="19"/>
                <w:vertAlign w:val="subscript"/>
              </w:rPr>
              <w:t xml:space="preserve">2 </w:t>
            </w:r>
            <w:r w:rsidRPr="00E2142A">
              <w:rPr>
                <w:rFonts w:ascii="Times New Roman" w:hAnsi="Times New Roman"/>
                <w:sz w:val="19"/>
                <w:szCs w:val="19"/>
              </w:rPr>
              <w:t xml:space="preserve">by solid phase reactions (M=Zr,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Ti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>, Sn); Synthesis of MO</w:t>
            </w:r>
            <w:r w:rsidRPr="00E2142A">
              <w:rPr>
                <w:rFonts w:ascii="Times New Roman" w:hAnsi="Times New Roman"/>
                <w:sz w:val="19"/>
                <w:szCs w:val="19"/>
                <w:vertAlign w:val="subscript"/>
              </w:rPr>
              <w:t>2</w:t>
            </w:r>
            <w:r w:rsidRPr="00E2142A">
              <w:rPr>
                <w:rFonts w:ascii="Times New Roman" w:hAnsi="Times New Roman"/>
                <w:sz w:val="19"/>
                <w:szCs w:val="19"/>
              </w:rPr>
              <w:t xml:space="preserve"> by inorganic compounds hydrolysis; Synthesis of MO</w:t>
            </w:r>
            <w:r w:rsidRPr="00E2142A">
              <w:rPr>
                <w:rFonts w:ascii="Times New Roman" w:hAnsi="Times New Roman"/>
                <w:sz w:val="19"/>
                <w:szCs w:val="19"/>
                <w:vertAlign w:val="subscript"/>
              </w:rPr>
              <w:t>2</w:t>
            </w:r>
            <w:r w:rsidRPr="00E2142A">
              <w:rPr>
                <w:rFonts w:ascii="Times New Roman" w:hAnsi="Times New Roman"/>
                <w:sz w:val="19"/>
                <w:szCs w:val="19"/>
              </w:rPr>
              <w:t xml:space="preserve"> by sol-gel method; Synthesis MO</w:t>
            </w:r>
            <w:r w:rsidRPr="00E2142A">
              <w:rPr>
                <w:rFonts w:ascii="Times New Roman" w:hAnsi="Times New Roman"/>
                <w:sz w:val="19"/>
                <w:szCs w:val="19"/>
                <w:vertAlign w:val="subscript"/>
              </w:rPr>
              <w:t>2</w:t>
            </w:r>
            <w:r w:rsidRPr="00E2142A">
              <w:rPr>
                <w:rFonts w:ascii="Times New Roman" w:hAnsi="Times New Roman"/>
                <w:sz w:val="19"/>
                <w:szCs w:val="19"/>
              </w:rPr>
              <w:t xml:space="preserve"> by hydrothermal method; Physical-chemical characterization of ceramic materials; Textural characteristics of ceramic materials; Calculation of material specific surface area and porosity analysis; Structural characteristics of material (XRD application); Examination of ceramic material crystallinity; Morphological properties of ceramic materials (electronic microscopy); Scanning electronic microscope imaging (SEM) and images analysis; Examination of acid-base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centres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of ceramics materials; Visit/practice to/in glass industry, Visit/practice to/in porcelain and ceramics industry.</w:t>
            </w:r>
            <w:r w:rsidR="00026BA8">
              <w:t xml:space="preserve"> </w:t>
            </w:r>
            <w:r w:rsidR="00026BA8" w:rsidRPr="00026BA8">
              <w:rPr>
                <w:rFonts w:ascii="Times New Roman" w:hAnsi="Times New Roman"/>
                <w:sz w:val="19"/>
                <w:szCs w:val="19"/>
              </w:rPr>
              <w:t>Field teaching - visit to the forensic department</w:t>
            </w:r>
          </w:p>
        </w:tc>
      </w:tr>
      <w:tr w:rsidR="00CC3F76" w:rsidRPr="001815B5" w14:paraId="16EC7999" w14:textId="77777777" w:rsidTr="00E2142A">
        <w:trPr>
          <w:trHeight w:val="227"/>
          <w:jc w:val="center"/>
        </w:trPr>
        <w:tc>
          <w:tcPr>
            <w:tcW w:w="9776" w:type="dxa"/>
            <w:gridSpan w:val="5"/>
            <w:vAlign w:val="center"/>
          </w:tcPr>
          <w:p w14:paraId="7951C9F6" w14:textId="77777777" w:rsidR="009C220E" w:rsidRPr="00E2142A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b/>
                <w:bCs/>
                <w:sz w:val="19"/>
                <w:szCs w:val="19"/>
              </w:rPr>
              <w:t>References</w:t>
            </w:r>
          </w:p>
          <w:p w14:paraId="61FD1561" w14:textId="46EF6022" w:rsidR="00E2142A" w:rsidRPr="00E2142A" w:rsidRDefault="00E2142A" w:rsidP="00E2142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E2142A">
              <w:rPr>
                <w:rFonts w:ascii="Times New Roman" w:hAnsi="Times New Roman"/>
                <w:sz w:val="19"/>
                <w:szCs w:val="19"/>
              </w:rPr>
              <w:t xml:space="preserve">1. V.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Srdić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Procesiranje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novih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keramičkih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materijala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Tehnološki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fakultet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Univerzitet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u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Novom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Sadu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>, Novi Sad,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2142A">
              <w:rPr>
                <w:rFonts w:ascii="Times New Roman" w:hAnsi="Times New Roman"/>
                <w:sz w:val="19"/>
                <w:szCs w:val="19"/>
              </w:rPr>
              <w:t>2004.</w:t>
            </w:r>
          </w:p>
          <w:p w14:paraId="7AB9E49A" w14:textId="4E1C4B1C" w:rsidR="00E2142A" w:rsidRPr="00E2142A" w:rsidRDefault="00E2142A" w:rsidP="00E2142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E2142A">
              <w:rPr>
                <w:rFonts w:ascii="Times New Roman" w:hAnsi="Times New Roman"/>
                <w:sz w:val="19"/>
                <w:szCs w:val="19"/>
              </w:rPr>
              <w:t xml:space="preserve">2. D.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Trifunović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M.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Jančić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Strukture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osobine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materijala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Tehnološko-metalurški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fakultet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Univerzitet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u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Beogradu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B</w:t>
            </w:r>
            <w:r w:rsidRPr="00E2142A">
              <w:rPr>
                <w:rFonts w:ascii="Times New Roman" w:hAnsi="Times New Roman"/>
                <w:sz w:val="19"/>
                <w:szCs w:val="19"/>
              </w:rPr>
              <w:t>eograd, 1975.</w:t>
            </w:r>
          </w:p>
          <w:p w14:paraId="083142C3" w14:textId="48B29C68" w:rsidR="00E2142A" w:rsidRPr="00E2142A" w:rsidRDefault="00E2142A" w:rsidP="00E2142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E2142A">
              <w:rPr>
                <w:rFonts w:ascii="Times New Roman" w:hAnsi="Times New Roman"/>
                <w:sz w:val="19"/>
                <w:szCs w:val="19"/>
              </w:rPr>
              <w:t xml:space="preserve">3. J.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Ranogajec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B. Živanović, K.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Kasač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R. Vasić,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Opekarski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proizvodi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sirovine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tehnologija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svojstva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>, IMS, Beograd,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E2142A">
              <w:rPr>
                <w:rFonts w:ascii="Times New Roman" w:hAnsi="Times New Roman"/>
                <w:sz w:val="19"/>
                <w:szCs w:val="19"/>
              </w:rPr>
              <w:t>998.</w:t>
            </w:r>
          </w:p>
          <w:p w14:paraId="64DAE125" w14:textId="77777777" w:rsidR="00E2142A" w:rsidRPr="00E2142A" w:rsidRDefault="00E2142A" w:rsidP="00E2142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E2142A">
              <w:rPr>
                <w:rFonts w:ascii="Times New Roman" w:hAnsi="Times New Roman"/>
                <w:sz w:val="19"/>
                <w:szCs w:val="19"/>
              </w:rPr>
              <w:t xml:space="preserve">4. D.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Trifunović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Lj.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Radonjić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Mehaničke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osobine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materijala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Tehnološko-metalurški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fakultet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Univerzitet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u</w:t>
            </w:r>
          </w:p>
          <w:p w14:paraId="3BFC2C06" w14:textId="77777777" w:rsidR="00E2142A" w:rsidRPr="00E2142A" w:rsidRDefault="00E2142A" w:rsidP="00E2142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Beogradu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>, Beograd, 1982.</w:t>
            </w:r>
          </w:p>
          <w:p w14:paraId="68441527" w14:textId="668F7504" w:rsidR="00E2142A" w:rsidRPr="00E2142A" w:rsidRDefault="00E2142A" w:rsidP="00E2142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sz w:val="19"/>
                <w:szCs w:val="19"/>
              </w:rPr>
              <w:t xml:space="preserve">5. A.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Zarubica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M. Ranđelović,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Praktikum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iz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Hemije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tehnologije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materijala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Prirodno-matematički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2142A">
              <w:rPr>
                <w:rFonts w:ascii="Times New Roman" w:hAnsi="Times New Roman"/>
                <w:sz w:val="19"/>
                <w:szCs w:val="19"/>
              </w:rPr>
              <w:t>fakultet</w:t>
            </w:r>
            <w:proofErr w:type="spellEnd"/>
            <w:r w:rsidRPr="00E2142A">
              <w:rPr>
                <w:rFonts w:ascii="Times New Roman" w:hAnsi="Times New Roman"/>
                <w:sz w:val="19"/>
                <w:szCs w:val="19"/>
              </w:rPr>
              <w:t>, Niš,2013.</w:t>
            </w:r>
          </w:p>
        </w:tc>
      </w:tr>
      <w:tr w:rsidR="00CC3F76" w:rsidRPr="00092214" w14:paraId="537B245D" w14:textId="77777777" w:rsidTr="00E2142A">
        <w:trPr>
          <w:trHeight w:val="227"/>
          <w:jc w:val="center"/>
        </w:trPr>
        <w:tc>
          <w:tcPr>
            <w:tcW w:w="3059" w:type="dxa"/>
            <w:vAlign w:val="center"/>
          </w:tcPr>
          <w:p w14:paraId="0901A2CD" w14:textId="23A0FD15" w:rsidR="00CC3F76" w:rsidRPr="00E2142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b/>
                <w:bCs/>
                <w:sz w:val="19"/>
                <w:szCs w:val="19"/>
              </w:rPr>
              <w:t>Active teaching classes</w:t>
            </w:r>
          </w:p>
        </w:tc>
        <w:tc>
          <w:tcPr>
            <w:tcW w:w="3064" w:type="dxa"/>
            <w:gridSpan w:val="2"/>
            <w:vAlign w:val="center"/>
          </w:tcPr>
          <w:p w14:paraId="1ECF3923" w14:textId="4E9311EB" w:rsidR="00CC3F76" w:rsidRPr="00E2142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b/>
                <w:sz w:val="19"/>
                <w:szCs w:val="19"/>
              </w:rPr>
              <w:t>Lectures</w:t>
            </w:r>
            <w:r w:rsidR="00E2142A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E2142A">
              <w:rPr>
                <w:rFonts w:ascii="Times New Roman" w:hAnsi="Times New Roman"/>
                <w:bCs/>
                <w:sz w:val="19"/>
                <w:szCs w:val="19"/>
              </w:rPr>
              <w:t>30</w:t>
            </w:r>
          </w:p>
        </w:tc>
        <w:tc>
          <w:tcPr>
            <w:tcW w:w="3653" w:type="dxa"/>
            <w:gridSpan w:val="2"/>
            <w:vAlign w:val="center"/>
          </w:tcPr>
          <w:p w14:paraId="0ECFC311" w14:textId="0F46B9F0" w:rsidR="00CC3F76" w:rsidRPr="00E2142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b/>
                <w:sz w:val="19"/>
                <w:szCs w:val="19"/>
              </w:rPr>
              <w:t>Laboratory work</w:t>
            </w:r>
            <w:r w:rsidR="00E2142A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E2142A">
              <w:rPr>
                <w:rFonts w:ascii="Times New Roman" w:hAnsi="Times New Roman"/>
                <w:bCs/>
                <w:sz w:val="19"/>
                <w:szCs w:val="19"/>
              </w:rPr>
              <w:t>15</w:t>
            </w:r>
          </w:p>
        </w:tc>
      </w:tr>
      <w:tr w:rsidR="00CC3F76" w:rsidRPr="00092214" w14:paraId="7C7979F7" w14:textId="77777777" w:rsidTr="00E2142A">
        <w:trPr>
          <w:trHeight w:val="227"/>
          <w:jc w:val="center"/>
        </w:trPr>
        <w:tc>
          <w:tcPr>
            <w:tcW w:w="9776" w:type="dxa"/>
            <w:gridSpan w:val="5"/>
            <w:vAlign w:val="center"/>
          </w:tcPr>
          <w:p w14:paraId="3F2152FD" w14:textId="6CC48823" w:rsidR="00CC3F76" w:rsidRPr="00E2142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b/>
                <w:bCs/>
                <w:sz w:val="19"/>
                <w:szCs w:val="19"/>
              </w:rPr>
              <w:t>Teaching mode</w:t>
            </w:r>
            <w:r w:rsidR="00026BA8">
              <w:t xml:space="preserve"> </w:t>
            </w:r>
            <w:r w:rsidR="00026BA8" w:rsidRPr="00026BA8">
              <w:rPr>
                <w:rFonts w:ascii="Times New Roman" w:hAnsi="Times New Roman"/>
                <w:sz w:val="19"/>
                <w:szCs w:val="19"/>
              </w:rPr>
              <w:t>Lectures, interactive teaching, field teaching, laboratory exercises, consultations and seminar work.</w:t>
            </w:r>
          </w:p>
        </w:tc>
      </w:tr>
      <w:tr w:rsidR="00CC3F76" w:rsidRPr="00092214" w14:paraId="188E65A4" w14:textId="77777777" w:rsidTr="00E2142A">
        <w:trPr>
          <w:trHeight w:val="227"/>
          <w:jc w:val="center"/>
        </w:trPr>
        <w:tc>
          <w:tcPr>
            <w:tcW w:w="9776" w:type="dxa"/>
            <w:gridSpan w:val="5"/>
            <w:vAlign w:val="center"/>
          </w:tcPr>
          <w:p w14:paraId="5B48F290" w14:textId="53D1BF25" w:rsidR="00CC3F76" w:rsidRPr="00E2142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  <w:t>ASSESSMENT METHODS AND CRITERIA</w:t>
            </w:r>
            <w:r w:rsidRPr="00E2142A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(Max 100 points)</w:t>
            </w:r>
          </w:p>
        </w:tc>
      </w:tr>
      <w:tr w:rsidR="00CE7231" w:rsidRPr="00092214" w14:paraId="5B494045" w14:textId="77777777" w:rsidTr="00E2142A">
        <w:trPr>
          <w:trHeight w:val="227"/>
          <w:jc w:val="center"/>
        </w:trPr>
        <w:tc>
          <w:tcPr>
            <w:tcW w:w="3059" w:type="dxa"/>
            <w:vAlign w:val="center"/>
          </w:tcPr>
          <w:p w14:paraId="29DE0A90" w14:textId="3A0A4A88" w:rsidR="00CE7231" w:rsidRPr="00E2142A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19"/>
                <w:szCs w:val="19"/>
                <w:lang w:val="sr-Cyrl-CS"/>
              </w:rPr>
            </w:pPr>
            <w:r w:rsidRPr="00E2142A">
              <w:rPr>
                <w:rFonts w:ascii="Times New Roman" w:hAnsi="Times New Roman"/>
                <w:b/>
                <w:sz w:val="19"/>
                <w:szCs w:val="19"/>
              </w:rPr>
              <w:t>Pre exam duties</w:t>
            </w:r>
          </w:p>
        </w:tc>
        <w:tc>
          <w:tcPr>
            <w:tcW w:w="1918" w:type="dxa"/>
            <w:vAlign w:val="center"/>
          </w:tcPr>
          <w:p w14:paraId="464802D0" w14:textId="43818400" w:rsidR="00CE7231" w:rsidRPr="00E2142A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  <w:r w:rsidRPr="00E2142A">
              <w:rPr>
                <w:rFonts w:ascii="Times New Roman" w:hAnsi="Times New Roman"/>
                <w:b/>
                <w:sz w:val="19"/>
                <w:szCs w:val="19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3A0D0DC" w14:textId="5530E330" w:rsidR="00CE7231" w:rsidRPr="00E2142A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  <w:r w:rsidRPr="00E2142A">
              <w:rPr>
                <w:rFonts w:ascii="Times New Roman" w:hAnsi="Times New Roman"/>
                <w:b/>
                <w:iCs/>
                <w:sz w:val="19"/>
                <w:szCs w:val="19"/>
              </w:rPr>
              <w:t>Final exam</w:t>
            </w:r>
            <w:r w:rsidR="00CE7231" w:rsidRPr="00E2142A">
              <w:rPr>
                <w:rFonts w:ascii="Times New Roman" w:hAnsi="Times New Roman"/>
                <w:b/>
                <w:iCs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B7965F5" w14:textId="40198BF3" w:rsidR="00CE7231" w:rsidRPr="00E2142A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b/>
                <w:bCs/>
                <w:sz w:val="19"/>
                <w:szCs w:val="19"/>
              </w:rPr>
              <w:t>Points</w:t>
            </w:r>
          </w:p>
        </w:tc>
      </w:tr>
      <w:tr w:rsidR="00CC3F76" w:rsidRPr="00092214" w14:paraId="54F50D16" w14:textId="77777777" w:rsidTr="00E2142A">
        <w:trPr>
          <w:trHeight w:val="227"/>
          <w:jc w:val="center"/>
        </w:trPr>
        <w:tc>
          <w:tcPr>
            <w:tcW w:w="3059" w:type="dxa"/>
            <w:vAlign w:val="center"/>
          </w:tcPr>
          <w:p w14:paraId="24336FDC" w14:textId="7574BFF4" w:rsidR="00CC3F76" w:rsidRPr="00E2142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19"/>
                <w:szCs w:val="19"/>
                <w:lang w:val="sr-Cyrl-CS"/>
              </w:rPr>
            </w:pPr>
            <w:r w:rsidRPr="00E2142A">
              <w:rPr>
                <w:rFonts w:ascii="Times New Roman" w:hAnsi="Times New Roman"/>
                <w:sz w:val="19"/>
                <w:szCs w:val="19"/>
                <w:lang w:val="sr-Cyrl-CS"/>
              </w:rPr>
              <w:t>Activity during lectures</w:t>
            </w:r>
          </w:p>
        </w:tc>
        <w:tc>
          <w:tcPr>
            <w:tcW w:w="1918" w:type="dxa"/>
            <w:vAlign w:val="center"/>
          </w:tcPr>
          <w:p w14:paraId="645707C3" w14:textId="708875CC" w:rsidR="00CC3F76" w:rsidRPr="00E2142A" w:rsidRDefault="00E2142A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79D1B08F" w14:textId="46483C45" w:rsidR="00CC3F76" w:rsidRPr="00E2142A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19"/>
                <w:szCs w:val="19"/>
                <w:lang w:val="sr-Cyrl-CS"/>
              </w:rPr>
            </w:pPr>
            <w:r w:rsidRPr="00E2142A">
              <w:rPr>
                <w:rFonts w:ascii="Times New Roman" w:hAnsi="Times New Roman"/>
                <w:sz w:val="19"/>
                <w:szCs w:val="19"/>
                <w:lang w:val="sr-Cyrl-CS"/>
              </w:rPr>
              <w:t>Written examination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C6F4D4A" w14:textId="0AAD7BBD" w:rsidR="00CC3F76" w:rsidRPr="00E2142A" w:rsidRDefault="00E2142A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</w:tr>
      <w:tr w:rsidR="00CC3F76" w:rsidRPr="00092214" w14:paraId="37A6647C" w14:textId="77777777" w:rsidTr="00E2142A">
        <w:trPr>
          <w:trHeight w:val="227"/>
          <w:jc w:val="center"/>
        </w:trPr>
        <w:tc>
          <w:tcPr>
            <w:tcW w:w="3059" w:type="dxa"/>
            <w:vAlign w:val="center"/>
          </w:tcPr>
          <w:p w14:paraId="5803F2E9" w14:textId="1B1D4135" w:rsidR="00CC3F76" w:rsidRPr="00E2142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19"/>
                <w:szCs w:val="19"/>
                <w:lang w:val="sr-Cyrl-CS"/>
              </w:rPr>
            </w:pPr>
            <w:r w:rsidRPr="00E2142A">
              <w:rPr>
                <w:rFonts w:ascii="Times New Roman" w:hAnsi="Times New Roman"/>
                <w:sz w:val="19"/>
                <w:szCs w:val="19"/>
                <w:lang w:val="sr-Cyrl-CS"/>
              </w:rPr>
              <w:t>Practical teaching</w:t>
            </w:r>
          </w:p>
        </w:tc>
        <w:tc>
          <w:tcPr>
            <w:tcW w:w="1918" w:type="dxa"/>
            <w:vAlign w:val="center"/>
          </w:tcPr>
          <w:p w14:paraId="2A8AC065" w14:textId="56C18E5D" w:rsidR="00CC3F76" w:rsidRPr="00E2142A" w:rsidRDefault="00E2142A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28039DD0" w14:textId="2E363CDD" w:rsidR="00CC3F76" w:rsidRPr="00E2142A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E2142A">
              <w:rPr>
                <w:rFonts w:ascii="Times New Roman" w:hAnsi="Times New Roman"/>
                <w:sz w:val="19"/>
                <w:szCs w:val="19"/>
                <w:lang w:val="sr-Cyrl-CS"/>
              </w:rPr>
              <w:t>Oral examination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DC9F41A" w14:textId="4AB0F396" w:rsidR="00CC3F76" w:rsidRPr="00E2142A" w:rsidRDefault="00E2142A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</w:tr>
      <w:tr w:rsidR="00CC3F76" w:rsidRPr="00092214" w14:paraId="1E51AA18" w14:textId="77777777" w:rsidTr="00E2142A">
        <w:trPr>
          <w:trHeight w:val="227"/>
          <w:jc w:val="center"/>
        </w:trPr>
        <w:tc>
          <w:tcPr>
            <w:tcW w:w="3059" w:type="dxa"/>
            <w:vAlign w:val="center"/>
          </w:tcPr>
          <w:p w14:paraId="0569B720" w14:textId="0464CAB7" w:rsidR="00CC3F76" w:rsidRPr="00E2142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19"/>
                <w:szCs w:val="19"/>
                <w:lang w:val="sr-Cyrl-CS"/>
              </w:rPr>
            </w:pPr>
            <w:r w:rsidRPr="00E2142A">
              <w:rPr>
                <w:rFonts w:ascii="Times New Roman" w:hAnsi="Times New Roman"/>
                <w:sz w:val="19"/>
                <w:szCs w:val="19"/>
                <w:lang w:val="sr-Cyrl-CS"/>
              </w:rPr>
              <w:t>Teaching colloquia</w:t>
            </w:r>
          </w:p>
        </w:tc>
        <w:tc>
          <w:tcPr>
            <w:tcW w:w="1918" w:type="dxa"/>
            <w:vAlign w:val="center"/>
          </w:tcPr>
          <w:p w14:paraId="43A30471" w14:textId="62BDF7B8" w:rsidR="00CC3F76" w:rsidRPr="00E2142A" w:rsidRDefault="00E2142A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FEE3745" w14:textId="77777777" w:rsidR="00CC3F76" w:rsidRPr="00E2142A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  <w:lang w:val="sr-Cyrl-CS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50CB3233" w14:textId="77777777" w:rsidR="00CC3F76" w:rsidRPr="00E2142A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  <w:lang w:val="sr-Cyrl-CS"/>
              </w:rPr>
            </w:pPr>
          </w:p>
        </w:tc>
      </w:tr>
      <w:tr w:rsidR="00CC3F76" w:rsidRPr="00092214" w14:paraId="35ADDEE1" w14:textId="77777777" w:rsidTr="00E2142A">
        <w:trPr>
          <w:trHeight w:val="227"/>
          <w:jc w:val="center"/>
        </w:trPr>
        <w:tc>
          <w:tcPr>
            <w:tcW w:w="3059" w:type="dxa"/>
            <w:vAlign w:val="center"/>
          </w:tcPr>
          <w:p w14:paraId="3DF70CD9" w14:textId="4AB5E6B8" w:rsidR="00CC3F76" w:rsidRPr="00E2142A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E2142A">
              <w:rPr>
                <w:rFonts w:ascii="Times New Roman" w:hAnsi="Times New Roman"/>
                <w:sz w:val="19"/>
                <w:szCs w:val="19"/>
              </w:rPr>
              <w:t>Seminar</w:t>
            </w:r>
          </w:p>
        </w:tc>
        <w:tc>
          <w:tcPr>
            <w:tcW w:w="1918" w:type="dxa"/>
            <w:vAlign w:val="center"/>
          </w:tcPr>
          <w:p w14:paraId="49B4A82A" w14:textId="77777777" w:rsidR="00CC3F76" w:rsidRPr="00E2142A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  <w:lang w:val="sr-Cyrl-CS"/>
              </w:rPr>
            </w:pP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32A42A1A" w14:textId="77777777" w:rsidR="00CC3F76" w:rsidRPr="00E2142A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19"/>
                <w:szCs w:val="19"/>
                <w:lang w:val="sr-Cyrl-CS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5EEFEEED" w14:textId="77777777" w:rsidR="00CC3F76" w:rsidRPr="00E2142A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64DB6"/>
    <w:multiLevelType w:val="hybridMultilevel"/>
    <w:tmpl w:val="10CE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192795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26BA8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8349C"/>
    <w:rsid w:val="005452A0"/>
    <w:rsid w:val="0057337A"/>
    <w:rsid w:val="00577CCF"/>
    <w:rsid w:val="00587F3E"/>
    <w:rsid w:val="006A01B9"/>
    <w:rsid w:val="006F5231"/>
    <w:rsid w:val="006F59DB"/>
    <w:rsid w:val="0076485C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DC2267"/>
    <w:rsid w:val="00E2142A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485C"/>
    <w:pPr>
      <w:suppressAutoHyphens/>
      <w:spacing w:after="120" w:line="264" w:lineRule="auto"/>
      <w:ind w:left="720"/>
      <w:contextualSpacing/>
      <w:jc w:val="both"/>
    </w:pPr>
    <w:rPr>
      <w:rFonts w:ascii="Arial" w:eastAsia="Times New Roman" w:hAnsi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F7DB4-E3A7-4DC8-90CF-80BCCAAD0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Ivana Rašić Mišić</cp:lastModifiedBy>
  <cp:revision>3</cp:revision>
  <dcterms:created xsi:type="dcterms:W3CDTF">2022-12-24T13:33:00Z</dcterms:created>
  <dcterms:modified xsi:type="dcterms:W3CDTF">2023-01-12T22:03:00Z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