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20050" w:rsidRPr="00092214" w14:paraId="167ED0B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894FB70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689957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AD5AFC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20050" w:rsidRPr="00092214" w14:paraId="59CA2E1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A195B24" w14:textId="5389C99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Industrial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C20050">
              <w:rPr>
                <w:rFonts w:ascii="Times New Roman" w:hAnsi="Times New Roman"/>
                <w:sz w:val="20"/>
                <w:szCs w:val="20"/>
              </w:rPr>
              <w:t>247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C20050" w:rsidRPr="00092214" w14:paraId="57A16DDA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565902" w14:textId="77777777" w:rsidR="00C20050" w:rsidRPr="000555FE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  <w:lang w:val="sr-Latn-RS"/>
              </w:rPr>
              <w:t>Aleksandra Lj. Bojić, Jelena Z. Mitrović</w:t>
            </w:r>
          </w:p>
        </w:tc>
      </w:tr>
      <w:tr w:rsidR="00C20050" w:rsidRPr="00092214" w14:paraId="0DB1ECB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7003303" w14:textId="77777777" w:rsidR="00C20050" w:rsidRPr="000555FE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20050" w:rsidRPr="00092214" w14:paraId="3987928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DD39853" w14:textId="77777777" w:rsidR="00C20050" w:rsidRPr="000555FE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C20050" w:rsidRPr="00092214" w14:paraId="158CFC3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10E025E" w14:textId="77777777" w:rsidR="00C20050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317D8D24" w14:textId="77777777" w:rsidR="00C20050" w:rsidRPr="000555FE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Acquiring systematized advanced knowledge about the principles of chemical-technological processes.</w:t>
            </w:r>
          </w:p>
          <w:p w14:paraId="389C7260" w14:textId="77777777" w:rsidR="00C20050" w:rsidRPr="000555FE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Training students for the selection and modeling of processes and reactors from the aspect of speed control,</w:t>
            </w:r>
          </w:p>
          <w:p w14:paraId="64DC8D9C" w14:textId="77777777" w:rsidR="00C20050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 xml:space="preserve">selectivity, mass, and heat transfer. </w:t>
            </w:r>
          </w:p>
          <w:p w14:paraId="7C319779" w14:textId="77777777" w:rsidR="00C20050" w:rsidRPr="000555FE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Developing the ability to solve problems in chemical technological processes and their improvement.</w:t>
            </w:r>
          </w:p>
        </w:tc>
      </w:tr>
      <w:tr w:rsidR="00C20050" w:rsidRPr="00092214" w14:paraId="2E2DF68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CB38165" w14:textId="77777777" w:rsidR="00C20050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D77F63A" w14:textId="58C021FF" w:rsidR="00C20050" w:rsidRPr="00CE7231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Upon successful completion of this course, the student is able to define speed factors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chemical-technological process and explain their influence on speed, analyze the stages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homogeneous and heterogeneous chemical-technological processes and define the slow stage of the process,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explain the nature of mass exchange and heat transfer in chemical-technological processes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define the critical stage of the process, propose the type of reactor for the execution of a certain chemical technological process and analyze problems and propose the improvement of chemical technological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process.</w:t>
            </w:r>
          </w:p>
        </w:tc>
      </w:tr>
      <w:tr w:rsidR="00C20050" w:rsidRPr="00092214" w14:paraId="6C50BF8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4582CDB" w14:textId="77777777" w:rsidR="00C20050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5BD98CA" w14:textId="77777777" w:rsidR="00C20050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59B3EF2" w14:textId="77777777" w:rsidR="00C20050" w:rsidRPr="000555FE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Increasing the speed of chemical-technological processes. Principles of homogeneous chemical-technological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process. Principles of heterogeneous chemical-technological processes. Principles of mass transfer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heterogeneous chemical-technological processes. Principles of heat transfer in heterogeneous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chemical-technological processes. Models of chemical reactors. Choice of reactor and selectivity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process. Reactors for homogeneous chemical-technological processes. Reactors for heterogeneous chemical technological processes. Principles of catalytic chemical-technological processes. Principles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interactions of solid bodies with reactants in the liquid and vapor phase. Principles of plasma chemistry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photochemical processes. Principles and interconnection of redox processes, corrosion, oxidation,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burning and detonation. Principles of mass crystallization processes in the chemical industry.</w:t>
            </w:r>
          </w:p>
          <w:p w14:paraId="6FCAA147" w14:textId="77777777" w:rsidR="00C20050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71BFF617" w14:textId="36291FAB" w:rsidR="00C20050" w:rsidRPr="000555FE" w:rsidRDefault="00C20050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5FE">
              <w:rPr>
                <w:rFonts w:ascii="Times New Roman" w:hAnsi="Times New Roman"/>
                <w:sz w:val="20"/>
                <w:szCs w:val="20"/>
              </w:rPr>
              <w:t>Determination of the order of the H</w:t>
            </w:r>
            <w:r w:rsidRPr="000555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O</w:t>
            </w:r>
            <w:r w:rsidRPr="000555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 xml:space="preserve"> degradation reaction. Effect of convection and ultrasound on speed</w:t>
            </w:r>
            <w:r w:rsid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heterogeneous process. Removal of CO</w:t>
            </w:r>
            <w:r w:rsidRPr="000555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 xml:space="preserve"> from the gas phase by </w:t>
            </w:r>
            <w:proofErr w:type="gramStart"/>
            <w:r w:rsidRPr="000555FE">
              <w:rPr>
                <w:rFonts w:ascii="Times New Roman" w:hAnsi="Times New Roman"/>
                <w:sz w:val="20"/>
                <w:szCs w:val="20"/>
              </w:rPr>
              <w:t>Ca(</w:t>
            </w:r>
            <w:proofErr w:type="gramEnd"/>
            <w:r w:rsidRPr="000555FE">
              <w:rPr>
                <w:rFonts w:ascii="Times New Roman" w:hAnsi="Times New Roman"/>
                <w:sz w:val="20"/>
                <w:szCs w:val="20"/>
              </w:rPr>
              <w:t>OH)</w:t>
            </w:r>
            <w:r w:rsidRPr="000555F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. Comparison of efficiency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processes in batch and flow reactors. Examination of the quality of artificial fertilizers. The content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water in industrial products. Resistance testing of organic coatings. Superficial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active substances and oxygen in detergents. Synthesis of phenol-formaldehyde resin by homogenization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</w:rPr>
              <w:t>by catalysis. Polythermal and isothermal crystallization. Tour of industrial plants.</w:t>
            </w:r>
          </w:p>
        </w:tc>
      </w:tr>
      <w:tr w:rsidR="00C20050" w:rsidRPr="001815B5" w14:paraId="1B8E2ED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0D14CFA" w14:textId="77777777" w:rsidR="00C20050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882FB0C" w14:textId="77777777" w:rsidR="00C20050" w:rsidRPr="00C54151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4151">
              <w:rPr>
                <w:rFonts w:ascii="Times New Roman" w:hAnsi="Times New Roman"/>
                <w:sz w:val="20"/>
                <w:szCs w:val="20"/>
              </w:rPr>
              <w:t xml:space="preserve">1. M.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Purenović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Bojić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Osnovni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principi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procesi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industrijskoj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hemiji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2005.</w:t>
            </w:r>
          </w:p>
          <w:p w14:paraId="43E5C850" w14:textId="77777777" w:rsidR="00C20050" w:rsidRPr="00C54151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4151">
              <w:rPr>
                <w:rFonts w:ascii="Times New Roman" w:hAnsi="Times New Roman"/>
                <w:sz w:val="20"/>
                <w:szCs w:val="20"/>
              </w:rPr>
              <w:t xml:space="preserve">2. D.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Vitorović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Hemijska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tehnologija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Beograd, 1990.</w:t>
            </w:r>
          </w:p>
          <w:p w14:paraId="61426D71" w14:textId="62B0AA60" w:rsidR="00C20050" w:rsidRPr="00C54151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415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Grupa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autora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Hemijsko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priručnik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tom 5.</w:t>
            </w:r>
            <w:r w:rsidR="00C54151" w:rsidRPr="00C54151">
              <w:rPr>
                <w:rFonts w:ascii="Times New Roman" w:hAnsi="Times New Roman"/>
                <w:sz w:val="20"/>
                <w:szCs w:val="20"/>
              </w:rPr>
              <w:t>,</w:t>
            </w:r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Hemijsko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inženjerstvo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Rad, Beograd, 1987.</w:t>
            </w:r>
          </w:p>
          <w:p w14:paraId="4C6D73B9" w14:textId="77777777" w:rsidR="00C20050" w:rsidRPr="00C54151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4151">
              <w:rPr>
                <w:rFonts w:ascii="Times New Roman" w:hAnsi="Times New Roman"/>
                <w:sz w:val="20"/>
                <w:szCs w:val="20"/>
              </w:rPr>
              <w:t xml:space="preserve">4. S.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Stanišić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Tehnološke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operacije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Novi Sad, 1978.</w:t>
            </w:r>
          </w:p>
          <w:p w14:paraId="1DFD5AB9" w14:textId="77777777" w:rsidR="00C20050" w:rsidRPr="00AD5AFC" w:rsidRDefault="00C20050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4151">
              <w:rPr>
                <w:rFonts w:ascii="Times New Roman" w:hAnsi="Times New Roman"/>
                <w:sz w:val="20"/>
                <w:szCs w:val="20"/>
              </w:rPr>
              <w:t xml:space="preserve">5.  A.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Bojić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Zarubica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Praktikum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vežbe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iz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industrijske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151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C54151">
              <w:rPr>
                <w:rFonts w:ascii="Times New Roman" w:hAnsi="Times New Roman"/>
                <w:sz w:val="20"/>
                <w:szCs w:val="20"/>
              </w:rPr>
              <w:t>, 2007.</w:t>
            </w:r>
          </w:p>
        </w:tc>
      </w:tr>
      <w:tr w:rsidR="00C20050" w:rsidRPr="00092214" w14:paraId="7AC97C4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8A8D550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400C2FA9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 w:rsidRPr="000555FE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27" w:type="dxa"/>
            <w:gridSpan w:val="2"/>
            <w:vAlign w:val="center"/>
          </w:tcPr>
          <w:p w14:paraId="2E8D38D1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 w:rsidRPr="000555FE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</w:tr>
      <w:tr w:rsidR="00C20050" w:rsidRPr="00092214" w14:paraId="2BD059E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EB154CF" w14:textId="77777777" w:rsidR="00C20050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140F58DA" w14:textId="77777777" w:rsidR="00C20050" w:rsidRPr="007B42E6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B42E6">
              <w:rPr>
                <w:rFonts w:ascii="Times New Roman" w:hAnsi="Times New Roman"/>
                <w:sz w:val="20"/>
                <w:szCs w:val="20"/>
              </w:rPr>
              <w:t>Lectures, interactive teaching, laboratory exercises, field teaching, consultations.</w:t>
            </w:r>
          </w:p>
        </w:tc>
      </w:tr>
      <w:tr w:rsidR="00C20050" w:rsidRPr="00092214" w14:paraId="188D5F3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3157098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20050" w:rsidRPr="00092214" w14:paraId="3DDAE18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28AC5AF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20CE71FD" w14:textId="77777777" w:rsidR="00C20050" w:rsidRPr="00CE7231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AF7BF38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D6F9CAF" w14:textId="77777777" w:rsidR="00C20050" w:rsidRPr="00A8601C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20050" w:rsidRPr="00092214" w14:paraId="047F9B4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1109FC7D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47280D18" w14:textId="77777777" w:rsidR="00C20050" w:rsidRPr="007B42E6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68B28B5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3A5A38A" w14:textId="77777777" w:rsidR="00C20050" w:rsidRPr="007B42E6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="00C20050" w:rsidRPr="00092214" w14:paraId="3FF8360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E75E5B0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7BF96F6B" w14:textId="77777777" w:rsidR="00C20050" w:rsidRPr="007B42E6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B345DF3" w14:textId="77777777" w:rsidR="00C20050" w:rsidRPr="00587F3E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304F358" w14:textId="77777777" w:rsidR="00C20050" w:rsidRPr="00F6728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20050" w:rsidRPr="00092214" w14:paraId="76B05AE9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03EB50B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Teaching colloquia</w:t>
            </w:r>
          </w:p>
        </w:tc>
        <w:tc>
          <w:tcPr>
            <w:tcW w:w="1918" w:type="dxa"/>
            <w:vAlign w:val="center"/>
          </w:tcPr>
          <w:p w14:paraId="70B4276F" w14:textId="77777777" w:rsidR="00C20050" w:rsidRPr="007B42E6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A59AF41" w14:textId="77777777" w:rsidR="00C20050" w:rsidRPr="00F6728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DA53A09" w14:textId="77777777" w:rsidR="00C20050" w:rsidRPr="00F6728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20050" w:rsidRPr="00092214" w14:paraId="23208CA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69C8F5C" w14:textId="77777777" w:rsidR="00C20050" w:rsidRPr="00A8601C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1F3499DC" w14:textId="77777777" w:rsidR="00C20050" w:rsidRPr="00F6728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3FFF53CE" w14:textId="77777777" w:rsidR="00C20050" w:rsidRPr="0009221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13ED93B" w14:textId="77777777" w:rsidR="00C20050" w:rsidRPr="00F67284" w:rsidRDefault="00C20050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4EB1D522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C5"/>
    <w:rsid w:val="004A18C5"/>
    <w:rsid w:val="00A331C8"/>
    <w:rsid w:val="00C20050"/>
    <w:rsid w:val="00C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89C5"/>
  <w15:chartTrackingRefBased/>
  <w15:docId w15:val="{69E5D04A-DE63-4DF3-8DF2-E9ADFE06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0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BB543-8DD0-402B-8D0D-266B525F6408}"/>
</file>

<file path=customXml/itemProps2.xml><?xml version="1.0" encoding="utf-8"?>
<ds:datastoreItem xmlns:ds="http://schemas.openxmlformats.org/officeDocument/2006/customXml" ds:itemID="{E2253EB8-CB7F-4E9C-9C69-8FEFE7F0F9D4}"/>
</file>

<file path=customXml/itemProps3.xml><?xml version="1.0" encoding="utf-8"?>
<ds:datastoreItem xmlns:ds="http://schemas.openxmlformats.org/officeDocument/2006/customXml" ds:itemID="{FAE291B2-E0CE-410F-883E-8366F4672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2022-12-24T12:42:00Z</dcterms:created>
  <dcterms:modified xsi:type="dcterms:W3CDTF">2022-12-24T12:46:00Z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