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709"/>
      </w:tblGrid>
      <w:tr w:rsidR="00CC3F76" w:rsidRPr="0029388C" w14:paraId="01A0D2A9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3CEA3FDD" w14:textId="1D5EE615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Study program</w:t>
            </w:r>
            <w:r w:rsidR="006E1BAA" w:rsidRPr="0029388C">
              <w:rPr>
                <w:rFonts w:ascii="Times New Roman" w:hAnsi="Times New Roman"/>
                <w:sz w:val="19"/>
                <w:szCs w:val="19"/>
                <w:lang w:val="sr-Cyrl-RS"/>
              </w:rPr>
              <w:t xml:space="preserve"> </w:t>
            </w:r>
            <w:r w:rsidR="006E1BAA" w:rsidRPr="0029388C">
              <w:rPr>
                <w:rFonts w:ascii="Times New Roman" w:hAnsi="Times New Roman"/>
                <w:sz w:val="19"/>
                <w:szCs w:val="19"/>
              </w:rPr>
              <w:t>Chemistry</w:t>
            </w:r>
          </w:p>
        </w:tc>
      </w:tr>
      <w:tr w:rsidR="00CC3F76" w:rsidRPr="0029388C" w14:paraId="4EB27B5B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11BE5AEA" w14:textId="763D5138" w:rsidR="00CC3F76" w:rsidRPr="0029388C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Course title</w:t>
            </w:r>
            <w:r w:rsidR="007928D7"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928D7" w:rsidRPr="0029388C">
              <w:rPr>
                <w:rFonts w:ascii="Times New Roman" w:hAnsi="Times New Roman"/>
                <w:sz w:val="19"/>
                <w:szCs w:val="19"/>
              </w:rPr>
              <w:t>Instrumental analytical chemistry (H134C)</w:t>
            </w:r>
          </w:p>
        </w:tc>
      </w:tr>
      <w:tr w:rsidR="00CC3F76" w:rsidRPr="0029388C" w14:paraId="358B3F50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303327D1" w14:textId="5A8B2C0D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Name of lecturer/lecturers</w:t>
            </w:r>
            <w:r w:rsidR="007928D7"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928D7" w:rsidRPr="0029388C">
              <w:rPr>
                <w:rFonts w:ascii="Times New Roman" w:hAnsi="Times New Roman"/>
                <w:sz w:val="19"/>
                <w:szCs w:val="19"/>
              </w:rPr>
              <w:t>Aleksandra N. Pavlović</w:t>
            </w:r>
          </w:p>
        </w:tc>
      </w:tr>
      <w:tr w:rsidR="00CC3F76" w:rsidRPr="0029388C" w14:paraId="7B6EE8FC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3A08B75B" w14:textId="0260B933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Type of course</w:t>
            </w:r>
            <w:r w:rsidR="007928D7"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928D7" w:rsidRPr="0029388C">
              <w:rPr>
                <w:rFonts w:ascii="Times New Roman" w:hAnsi="Times New Roman"/>
                <w:sz w:val="19"/>
                <w:szCs w:val="19"/>
              </w:rPr>
              <w:t>Obligatory</w:t>
            </w:r>
          </w:p>
        </w:tc>
      </w:tr>
      <w:tr w:rsidR="00CC3F76" w:rsidRPr="0029388C" w14:paraId="66D7AE4A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68ECFDF6" w14:textId="42D39EE0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Number of ECTS allocated</w:t>
            </w:r>
            <w:r w:rsidR="007928D7"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</w:t>
            </w:r>
            <w:r w:rsidR="007928D7" w:rsidRPr="002938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CC3F76" w:rsidRPr="0029388C" w14:paraId="5F07BE5F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574C7745" w14:textId="77777777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Course objectives</w:t>
            </w:r>
          </w:p>
          <w:p w14:paraId="4F147635" w14:textId="19643835" w:rsidR="007928D7" w:rsidRPr="0029388C" w:rsidRDefault="007928D7" w:rsidP="007928D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i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iCs/>
                <w:sz w:val="19"/>
                <w:szCs w:val="19"/>
              </w:rPr>
              <w:t>Acquisition of theoretical and practical knowledge of optical and electroanalytical instrumental methods</w:t>
            </w:r>
            <w:r w:rsidRPr="0029388C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iCs/>
                <w:sz w:val="19"/>
                <w:szCs w:val="19"/>
              </w:rPr>
              <w:t>analysis, as well as training students to use instruments to plan and execute</w:t>
            </w:r>
            <w:r w:rsidRPr="0029388C">
              <w:rPr>
                <w:rFonts w:ascii="Times New Roman" w:hAnsi="Times New Roman"/>
                <w:i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iCs/>
                <w:sz w:val="19"/>
                <w:szCs w:val="19"/>
              </w:rPr>
              <w:t>scientific research work. Understanding the role, importance, and areas of application of simpler instrumental analysis methods.</w:t>
            </w:r>
          </w:p>
        </w:tc>
      </w:tr>
      <w:tr w:rsidR="00CC3F76" w:rsidRPr="0029388C" w14:paraId="54DF42A7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1FB1D648" w14:textId="77777777" w:rsidR="00CC3F76" w:rsidRPr="0029388C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Course outcomes</w:t>
            </w:r>
          </w:p>
          <w:p w14:paraId="11B481AB" w14:textId="209AD1EC" w:rsidR="00F645FE" w:rsidRPr="0029388C" w:rsidRDefault="00F645FE" w:rsidP="00F645F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Upon successful completion of this course, the student can: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understands the principles of optical and electroanalytical methods of instrumental analysis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;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explain and differentiate the parts of instruments used for recording (sources, optical systems for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focusing and collimation, atomizers, sprayers, monochromators, detectors)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;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analyzes the types of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interference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that may occur during the analysis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;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recognize the applicability of instrumental methods of analysis in concrete cases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;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correctly handles specific instruments for physical and chemical analysis of the tested samples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;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measures precisely and accurately when performing assigned instrumental analyzes and interprets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experimental results and writes reports on the performed analysis.</w:t>
            </w:r>
          </w:p>
        </w:tc>
      </w:tr>
      <w:tr w:rsidR="00CC3F76" w:rsidRPr="0029388C" w14:paraId="76444845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423F50C0" w14:textId="77777777" w:rsidR="00CE7231" w:rsidRPr="0029388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SYLLABUS</w:t>
            </w:r>
          </w:p>
          <w:p w14:paraId="41C06159" w14:textId="72F7AEC5" w:rsidR="009C220E" w:rsidRPr="0029388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i/>
                <w:iCs/>
                <w:sz w:val="19"/>
                <w:szCs w:val="19"/>
              </w:rPr>
              <w:t>Lectures</w:t>
            </w:r>
          </w:p>
          <w:p w14:paraId="09E97BCF" w14:textId="79424028" w:rsidR="00765718" w:rsidRPr="0029388C" w:rsidRDefault="00F645FE" w:rsidP="0076571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Division of instrumental methods of analysis. Electromagnetic radiation. Scheme of spectral apparatus. Source of discontinuous radiation: flame, lamp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with a hollow cathode, ICP.</w:t>
            </w:r>
            <w:r w:rsidR="00765718"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Lenses and mirrors. The incision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spectral apparatus and section illumination. Aberration of optical systems. Dispersion elements: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f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ilters, prism, and diffraction optical grating. Characteristics of spectral apparatus: linear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dispersion, angular dispersion, resolving power. Photoelectric and radiometric radiation detection.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Emission optical methods. The intensity of the spectral line. Flame emission spectrometry.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Absorption methods. Laws of light absorption. Deviation from the Lambert-Beer law.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Colorimetry and photocolorimetry. Spectrophotometry in the UV/Vis range. Spectrophotometric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determination of two-component mixtures. Spectrophotometric titrations: titrations without indicators,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titrations with an indicator, and titration of a mixture. Atomic absorption spectrophotometry (AAS).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Infrared spectrophotometry (IR). Refractometry. Interferometry. Polarimetry.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Nephelometry and turbidimetry. Direct conductometry. Determination of the dissociation constant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weak acids and bases. Determination of solubility products. Conductometric titrations: acid-base titrations, chemical exchange systems, titrations of complexing systems, titrations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depositional systems. Direct potentiometry. </w:t>
            </w:r>
            <w:proofErr w:type="spellStart"/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Ionometry</w:t>
            </w:r>
            <w:proofErr w:type="spellEnd"/>
            <w:r w:rsidR="00765718" w:rsidRPr="0029388C">
              <w:rPr>
                <w:rFonts w:ascii="Times New Roman" w:hAnsi="Times New Roman"/>
                <w:bCs/>
                <w:sz w:val="19"/>
                <w:szCs w:val="19"/>
              </w:rPr>
              <w:t>. Types of electrodes. Potentiometric</w:t>
            </w:r>
          </w:p>
          <w:p w14:paraId="22F8AAFD" w14:textId="2B7FDADC" w:rsidR="00F645FE" w:rsidRPr="0029388C" w:rsidRDefault="00765718" w:rsidP="0076571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titrations: acid-base titrations, precipitation titrations, complexometric titrations, and redox titrations. Potentiometric titrations in non-aqueous media. Determine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titration endpoints in cells with one indicator and one reference electrode.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Methods for determining the end point of titration in cells with two indicator electrodes. Electrolysis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and electrogravimetry. Coulometry. Coulometric titrations: acid-base titrations, precipitation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bCs/>
                <w:sz w:val="19"/>
                <w:szCs w:val="19"/>
              </w:rPr>
              <w:t>titrations, complexometric titrations, and redox titrations. Chemical coulometers.</w:t>
            </w:r>
            <w:r w:rsidR="00F645FE" w:rsidRPr="0029388C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  <w:p w14:paraId="777FB4A6" w14:textId="77777777" w:rsidR="001815B5" w:rsidRPr="0029388C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i/>
                <w:iCs/>
                <w:sz w:val="19"/>
                <w:szCs w:val="19"/>
              </w:rPr>
              <w:t>Laboratory work</w:t>
            </w:r>
          </w:p>
          <w:p w14:paraId="291719C4" w14:textId="5FE68763" w:rsidR="00765718" w:rsidRPr="0029388C" w:rsidRDefault="00765718" w:rsidP="0076571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 xml:space="preserve">Spectrophotometric determination of </w:t>
            </w:r>
            <w:proofErr w:type="gramStart"/>
            <w:r w:rsidRPr="0029388C">
              <w:rPr>
                <w:rFonts w:ascii="Times New Roman" w:hAnsi="Times New Roman"/>
                <w:sz w:val="19"/>
                <w:szCs w:val="19"/>
              </w:rPr>
              <w:t>Fe(</w:t>
            </w:r>
            <w:proofErr w:type="gramEnd"/>
            <w:r w:rsidRPr="0029388C">
              <w:rPr>
                <w:rFonts w:ascii="Times New Roman" w:hAnsi="Times New Roman"/>
                <w:sz w:val="19"/>
                <w:szCs w:val="19"/>
              </w:rPr>
              <w:t>II) ions. Spectrophotometric titration of Bi</w:t>
            </w:r>
            <w:r w:rsidRPr="0029388C">
              <w:rPr>
                <w:rFonts w:ascii="Times New Roman" w:hAnsi="Times New Roman"/>
                <w:sz w:val="19"/>
                <w:szCs w:val="19"/>
                <w:vertAlign w:val="superscript"/>
              </w:rPr>
              <w:t>3+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and Cu</w:t>
            </w:r>
            <w:r w:rsidRPr="0029388C">
              <w:rPr>
                <w:rFonts w:ascii="Times New Roman" w:hAnsi="Times New Roman"/>
                <w:sz w:val="19"/>
                <w:szCs w:val="19"/>
                <w:vertAlign w:val="superscript"/>
              </w:rPr>
              <w:t>2+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ions in a mixture. Turbidimetric determination of sulfate.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Photocolorimetric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determination of concentration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colored Cu</w:t>
            </w:r>
            <w:r w:rsidRPr="0029388C">
              <w:rPr>
                <w:rFonts w:ascii="Times New Roman" w:hAnsi="Times New Roman"/>
                <w:sz w:val="19"/>
                <w:szCs w:val="19"/>
                <w:vertAlign w:val="superscript"/>
              </w:rPr>
              <w:t>2+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solution. Colorimetric determination of MnO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4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- using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Duboscq's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colorimeter.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Determination of the concentration of the dissolved substance based on the deflection angle. Conductometric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determination of the dissociation constant of weak acids. Conductometric determination of the product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solubility of a poorly soluble compound. Conductometric titration of H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SO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4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and CH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3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COOH in a mixture. Precipitation conductometric titration of BaCl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with K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2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SO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4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. Potentiometric titration of H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3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PO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4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with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NaOH. Potentiometric titration of CH</w:t>
            </w:r>
            <w:r w:rsidRPr="0029388C">
              <w:rPr>
                <w:rFonts w:ascii="Times New Roman" w:hAnsi="Times New Roman"/>
                <w:sz w:val="19"/>
                <w:szCs w:val="19"/>
                <w:vertAlign w:val="subscript"/>
              </w:rPr>
              <w:t>3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COOH with NaOH. Potentiometric titration of oxalate and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succinic acid in a non-aqueous solution.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Electrogravimetry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determination of copper.</w:t>
            </w:r>
          </w:p>
        </w:tc>
      </w:tr>
      <w:tr w:rsidR="00CC3F76" w:rsidRPr="0029388C" w14:paraId="16EC7999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2483CB02" w14:textId="77777777" w:rsidR="009C220E" w:rsidRPr="0029388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References</w:t>
            </w:r>
          </w:p>
          <w:p w14:paraId="3898C66D" w14:textId="491401F7" w:rsidR="00FC7D0F" w:rsidRPr="0029388C" w:rsidRDefault="00FC7D0F" w:rsidP="00FC7D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 xml:space="preserve">1. V.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Jokanović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Instrumentalne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metode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ključ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za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razumevanje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nanotehnologije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nanomedicine,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Inžinjerska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akademija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Srbije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Institut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za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nuklearne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nauke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„</w:t>
            </w:r>
            <w:proofErr w:type="spellStart"/>
            <w:proofErr w:type="gramStart"/>
            <w:r w:rsidRPr="0029388C">
              <w:rPr>
                <w:rFonts w:ascii="Times New Roman" w:hAnsi="Times New Roman"/>
                <w:sz w:val="19"/>
                <w:szCs w:val="19"/>
              </w:rPr>
              <w:t>Vinča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“</w:t>
            </w:r>
            <w:proofErr w:type="gramEnd"/>
            <w:r w:rsidRPr="0029388C">
              <w:rPr>
                <w:rFonts w:ascii="Times New Roman" w:hAnsi="Times New Roman"/>
                <w:sz w:val="19"/>
                <w:szCs w:val="19"/>
              </w:rPr>
              <w:t>, Beograd, 2014.</w:t>
            </w:r>
          </w:p>
          <w:p w14:paraId="3C439556" w14:textId="45A859EC" w:rsidR="00FC7D0F" w:rsidRPr="0029388C" w:rsidRDefault="00FC7D0F" w:rsidP="00FC7D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 xml:space="preserve">2. M.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Todorović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P.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Đurđević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V.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Antonijević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Optičke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metode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instrumentalne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analize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Hemijski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, Beograd, 1997.</w:t>
            </w:r>
          </w:p>
          <w:p w14:paraId="07C4DB03" w14:textId="77777777" w:rsidR="00FC7D0F" w:rsidRPr="0029388C" w:rsidRDefault="00FC7D0F" w:rsidP="00FC7D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 xml:space="preserve">3. S.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Mitić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Elektroanalitička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hemija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Prirodno-matematički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u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Nišu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Niš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, 2008.</w:t>
            </w:r>
          </w:p>
          <w:p w14:paraId="38C076D8" w14:textId="036F0F34" w:rsidR="00FC7D0F" w:rsidRPr="0029388C" w:rsidRDefault="00FC7D0F" w:rsidP="00FC7D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4. D. A. Skoog, D. M. West, F. J. Holler, Fundamentals of Analytical Chemistry, Saunders College Publishing,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>Philadelphia, 1996. (</w:t>
            </w:r>
            <w:proofErr w:type="spellStart"/>
            <w:proofErr w:type="gramStart"/>
            <w:r w:rsidRPr="0029388C">
              <w:rPr>
                <w:rFonts w:ascii="Times New Roman" w:hAnsi="Times New Roman"/>
                <w:sz w:val="19"/>
                <w:szCs w:val="19"/>
              </w:rPr>
              <w:t>prevod</w:t>
            </w:r>
            <w:proofErr w:type="spellEnd"/>
            <w:proofErr w:type="gram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: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Školska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knjiga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, Zagreb, 1999.)</w:t>
            </w:r>
          </w:p>
          <w:p w14:paraId="68441527" w14:textId="5BBA8983" w:rsidR="00FC7D0F" w:rsidRPr="0029388C" w:rsidRDefault="00FC7D0F" w:rsidP="00FC7D0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 xml:space="preserve">5. S.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Mitić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A. Pavlović, V.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Živanović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Zbirka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zadataka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iz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instrumentalne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analitičke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hemije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,</w:t>
            </w:r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Prirodno-matematički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fakultet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 u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Nišu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proofErr w:type="spellStart"/>
            <w:r w:rsidRPr="0029388C">
              <w:rPr>
                <w:rFonts w:ascii="Times New Roman" w:hAnsi="Times New Roman"/>
                <w:sz w:val="19"/>
                <w:szCs w:val="19"/>
              </w:rPr>
              <w:t>Niš</w:t>
            </w:r>
            <w:proofErr w:type="spellEnd"/>
            <w:r w:rsidRPr="0029388C">
              <w:rPr>
                <w:rFonts w:ascii="Times New Roman" w:hAnsi="Times New Roman"/>
                <w:sz w:val="19"/>
                <w:szCs w:val="19"/>
              </w:rPr>
              <w:t>, 2012.</w:t>
            </w:r>
          </w:p>
        </w:tc>
      </w:tr>
      <w:tr w:rsidR="00CC3F76" w:rsidRPr="0029388C" w14:paraId="537B245D" w14:textId="77777777" w:rsidTr="00C66733">
        <w:trPr>
          <w:trHeight w:val="227"/>
          <w:jc w:val="center"/>
        </w:trPr>
        <w:tc>
          <w:tcPr>
            <w:tcW w:w="3059" w:type="dxa"/>
            <w:vAlign w:val="center"/>
          </w:tcPr>
          <w:p w14:paraId="0901A2CD" w14:textId="23A0FD15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lastRenderedPageBreak/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1ECF3923" w14:textId="5A4E40E3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sz w:val="19"/>
                <w:szCs w:val="19"/>
              </w:rPr>
              <w:t>Lectures</w:t>
            </w:r>
            <w:r w:rsidR="00FC7D0F" w:rsidRPr="0029388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FC7D0F" w:rsidRPr="0029388C">
              <w:rPr>
                <w:rFonts w:ascii="Times New Roman" w:hAnsi="Times New Roman"/>
                <w:bCs/>
                <w:sz w:val="19"/>
                <w:szCs w:val="19"/>
              </w:rPr>
              <w:t>60</w:t>
            </w:r>
          </w:p>
        </w:tc>
        <w:tc>
          <w:tcPr>
            <w:tcW w:w="3705" w:type="dxa"/>
            <w:gridSpan w:val="2"/>
            <w:vAlign w:val="center"/>
          </w:tcPr>
          <w:p w14:paraId="0ECFC311" w14:textId="3750FD2D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sz w:val="19"/>
                <w:szCs w:val="19"/>
              </w:rPr>
              <w:t>Laboratory work</w:t>
            </w:r>
            <w:r w:rsidR="00FC7D0F" w:rsidRPr="0029388C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FC7D0F" w:rsidRPr="0029388C">
              <w:rPr>
                <w:rFonts w:ascii="Times New Roman" w:hAnsi="Times New Roman"/>
                <w:bCs/>
                <w:sz w:val="19"/>
                <w:szCs w:val="19"/>
              </w:rPr>
              <w:t>45</w:t>
            </w:r>
          </w:p>
        </w:tc>
      </w:tr>
      <w:tr w:rsidR="00CC3F76" w:rsidRPr="0029388C" w14:paraId="7C7979F7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3F2152FD" w14:textId="6F6A4D64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Teaching mode</w:t>
            </w:r>
            <w:r w:rsidR="00EC62F4" w:rsidRPr="0029388C">
              <w:rPr>
                <w:sz w:val="19"/>
                <w:szCs w:val="19"/>
              </w:rPr>
              <w:t xml:space="preserve"> </w:t>
            </w:r>
            <w:r w:rsidR="00EC62F4" w:rsidRPr="0029388C">
              <w:rPr>
                <w:rFonts w:ascii="Times New Roman" w:hAnsi="Times New Roman"/>
                <w:sz w:val="19"/>
                <w:szCs w:val="19"/>
              </w:rPr>
              <w:t>lectures, laboratory exercises, demonstration, consultation</w:t>
            </w:r>
          </w:p>
        </w:tc>
      </w:tr>
      <w:tr w:rsidR="00CC3F76" w:rsidRPr="0029388C" w14:paraId="188E65A4" w14:textId="77777777" w:rsidTr="00C66733">
        <w:trPr>
          <w:trHeight w:val="227"/>
          <w:jc w:val="center"/>
        </w:trPr>
        <w:tc>
          <w:tcPr>
            <w:tcW w:w="9828" w:type="dxa"/>
            <w:gridSpan w:val="5"/>
            <w:vAlign w:val="center"/>
          </w:tcPr>
          <w:p w14:paraId="5B48F290" w14:textId="53D1BF25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  <w:t>ASSESSMENT METHODS AND CRITERIA</w:t>
            </w: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 (Max 100 points)</w:t>
            </w:r>
          </w:p>
        </w:tc>
      </w:tr>
      <w:tr w:rsidR="00CE7231" w:rsidRPr="0029388C" w14:paraId="5B494045" w14:textId="77777777" w:rsidTr="00C66733">
        <w:trPr>
          <w:trHeight w:val="227"/>
          <w:jc w:val="center"/>
        </w:trPr>
        <w:tc>
          <w:tcPr>
            <w:tcW w:w="3059" w:type="dxa"/>
            <w:vAlign w:val="center"/>
          </w:tcPr>
          <w:p w14:paraId="29DE0A90" w14:textId="3A0A4A88" w:rsidR="00CE7231" w:rsidRPr="0029388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b/>
                <w:sz w:val="19"/>
                <w:szCs w:val="19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464802D0" w14:textId="43818400" w:rsidR="00CE7231" w:rsidRPr="0029388C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b/>
                <w:sz w:val="19"/>
                <w:szCs w:val="19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3A0D0DC" w14:textId="5530E330" w:rsidR="00CE7231" w:rsidRPr="0029388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b/>
                <w:iCs/>
                <w:sz w:val="19"/>
                <w:szCs w:val="19"/>
              </w:rPr>
              <w:t>Final exam</w:t>
            </w:r>
            <w:r w:rsidR="00CE7231" w:rsidRPr="0029388C">
              <w:rPr>
                <w:rFonts w:ascii="Times New Roman" w:hAnsi="Times New Roman"/>
                <w:b/>
                <w:iCs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5B7965F5" w14:textId="40198BF3" w:rsidR="00CE7231" w:rsidRPr="0029388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b/>
                <w:bCs/>
                <w:sz w:val="19"/>
                <w:szCs w:val="19"/>
              </w:rPr>
              <w:t>Points</w:t>
            </w:r>
          </w:p>
        </w:tc>
      </w:tr>
      <w:tr w:rsidR="00CC3F76" w:rsidRPr="0029388C" w14:paraId="54F50D16" w14:textId="77777777" w:rsidTr="00C66733">
        <w:trPr>
          <w:trHeight w:val="227"/>
          <w:jc w:val="center"/>
        </w:trPr>
        <w:tc>
          <w:tcPr>
            <w:tcW w:w="3059" w:type="dxa"/>
            <w:vAlign w:val="center"/>
          </w:tcPr>
          <w:p w14:paraId="24336FDC" w14:textId="7574BFF4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sz w:val="19"/>
                <w:szCs w:val="19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645707C3" w14:textId="3BECE50B" w:rsidR="00CC3F76" w:rsidRPr="0029388C" w:rsidRDefault="00FC7D0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9D1B08F" w14:textId="46483C45" w:rsidR="00CC3F76" w:rsidRPr="0029388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sz w:val="19"/>
                <w:szCs w:val="19"/>
                <w:lang w:val="sr-Cyrl-CS"/>
              </w:rPr>
              <w:t>Written examination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7C6F4D4A" w14:textId="530883CD" w:rsidR="00CC3F76" w:rsidRPr="0029388C" w:rsidRDefault="00FC7D0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</w:tr>
      <w:tr w:rsidR="00CC3F76" w:rsidRPr="0029388C" w14:paraId="37A6647C" w14:textId="77777777" w:rsidTr="00C66733">
        <w:trPr>
          <w:trHeight w:val="227"/>
          <w:jc w:val="center"/>
        </w:trPr>
        <w:tc>
          <w:tcPr>
            <w:tcW w:w="3059" w:type="dxa"/>
            <w:vAlign w:val="center"/>
          </w:tcPr>
          <w:p w14:paraId="5803F2E9" w14:textId="1B1D4135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sz w:val="19"/>
                <w:szCs w:val="19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2A8AC065" w14:textId="62AC7B4D" w:rsidR="00CC3F76" w:rsidRPr="0029388C" w:rsidRDefault="00FC7D0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28039DD0" w14:textId="2E363CDD" w:rsidR="00CC3F76" w:rsidRPr="0029388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  <w:lang w:val="sr-Cyrl-CS"/>
              </w:rPr>
              <w:t>Oral examination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2DC9F41A" w14:textId="2CA7C993" w:rsidR="00CC3F76" w:rsidRPr="0029388C" w:rsidRDefault="00FC7D0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</w:tr>
      <w:tr w:rsidR="00CC3F76" w:rsidRPr="0029388C" w14:paraId="1E51AA18" w14:textId="77777777" w:rsidTr="00C66733">
        <w:trPr>
          <w:trHeight w:val="227"/>
          <w:jc w:val="center"/>
        </w:trPr>
        <w:tc>
          <w:tcPr>
            <w:tcW w:w="3059" w:type="dxa"/>
            <w:vAlign w:val="center"/>
          </w:tcPr>
          <w:p w14:paraId="0569B720" w14:textId="0464CAB7" w:rsidR="00CC3F76" w:rsidRPr="0029388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19"/>
                <w:szCs w:val="19"/>
                <w:lang w:val="sr-Cyrl-CS"/>
              </w:rPr>
            </w:pPr>
            <w:r w:rsidRPr="0029388C">
              <w:rPr>
                <w:rFonts w:ascii="Times New Roman" w:hAnsi="Times New Roman"/>
                <w:sz w:val="19"/>
                <w:szCs w:val="19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43A30471" w14:textId="2A11C36A" w:rsidR="00CC3F76" w:rsidRPr="0029388C" w:rsidRDefault="00FC7D0F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</w:rPr>
            </w:pPr>
            <w:r w:rsidRPr="0029388C">
              <w:rPr>
                <w:rFonts w:ascii="Times New Roman" w:hAnsi="Times New Roman"/>
                <w:sz w:val="19"/>
                <w:szCs w:val="19"/>
              </w:rPr>
              <w:t>30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5FEE3745" w14:textId="77777777" w:rsidR="00CC3F76" w:rsidRPr="0029388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50CB3233" w14:textId="77777777" w:rsidR="00CC3F76" w:rsidRPr="0029388C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19"/>
                <w:szCs w:val="19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9388C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E1BAA"/>
    <w:rsid w:val="006F5231"/>
    <w:rsid w:val="006F59DB"/>
    <w:rsid w:val="00765718"/>
    <w:rsid w:val="00776EB4"/>
    <w:rsid w:val="007928D7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66733"/>
    <w:rsid w:val="00CC3F76"/>
    <w:rsid w:val="00CD546A"/>
    <w:rsid w:val="00CE7231"/>
    <w:rsid w:val="00D939D4"/>
    <w:rsid w:val="00E9057F"/>
    <w:rsid w:val="00EC62F4"/>
    <w:rsid w:val="00F645FE"/>
    <w:rsid w:val="00F67284"/>
    <w:rsid w:val="00FA5352"/>
    <w:rsid w:val="00FC7D0F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6116AE-C3AD-4B85-8188-D236785C3CCA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Jelena Mrmošanin</cp:lastModifiedBy>
  <cp:revision>2</cp:revision>
  <dcterms:created xsi:type="dcterms:W3CDTF">2022-12-24T15:44:00Z</dcterms:created>
  <dcterms:modified xsi:type="dcterms:W3CDTF">2022-12-24T15:44:00Z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