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4E3994C0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F0E5F">
              <w:rPr>
                <w:rFonts w:ascii="Times New Roman" w:hAnsi="Times New Roman"/>
                <w:sz w:val="20"/>
                <w:szCs w:val="20"/>
              </w:rPr>
              <w:t>Molecular</w:t>
            </w:r>
            <w:r w:rsidR="00450FFA" w:rsidRPr="00450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FFA">
              <w:rPr>
                <w:rFonts w:ascii="Times New Roman" w:hAnsi="Times New Roman"/>
                <w:sz w:val="20"/>
                <w:szCs w:val="20"/>
              </w:rPr>
              <w:t>S</w:t>
            </w:r>
            <w:r w:rsidR="00450FFA" w:rsidRPr="00450FFA">
              <w:rPr>
                <w:rFonts w:ascii="Times New Roman" w:hAnsi="Times New Roman"/>
                <w:sz w:val="20"/>
                <w:szCs w:val="20"/>
              </w:rPr>
              <w:t xml:space="preserve">pectroscopy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1F0E5F">
              <w:rPr>
                <w:rFonts w:ascii="Times New Roman" w:hAnsi="Times New Roman"/>
                <w:sz w:val="20"/>
                <w:szCs w:val="20"/>
              </w:rPr>
              <w:t>32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591648E9" w:rsidR="00CC3F76" w:rsidRPr="00450FF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1F0E5F">
              <w:rPr>
                <w:rFonts w:ascii="Times New Roman" w:hAnsi="Times New Roman"/>
                <w:sz w:val="20"/>
                <w:szCs w:val="20"/>
              </w:rPr>
              <w:t>Emilija</w:t>
            </w:r>
            <w:proofErr w:type="spellEnd"/>
            <w:r w:rsidR="001F0E5F">
              <w:rPr>
                <w:rFonts w:ascii="Times New Roman" w:hAnsi="Times New Roman"/>
                <w:sz w:val="20"/>
                <w:szCs w:val="20"/>
              </w:rPr>
              <w:t xml:space="preserve"> T. </w:t>
            </w:r>
            <w:proofErr w:type="spellStart"/>
            <w:r w:rsidR="001F0E5F">
              <w:rPr>
                <w:rFonts w:ascii="Times New Roman" w:hAnsi="Times New Roman"/>
                <w:sz w:val="20"/>
                <w:szCs w:val="20"/>
              </w:rPr>
              <w:t>Pecev-Marinković</w:t>
            </w:r>
            <w:proofErr w:type="spellEnd"/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77777777" w:rsidR="0060661F" w:rsidRDefault="00CE7231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7A7B5E" w14:textId="0D87D5F5" w:rsidR="00450FFA" w:rsidRDefault="001F0E5F" w:rsidP="001F0E5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Introducing students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with the basic principles of molecular spectro</w:t>
            </w:r>
            <w:r>
              <w:rPr>
                <w:rFonts w:ascii="Times New Roman" w:hAnsi="Times New Roman"/>
                <w:sz w:val="20"/>
                <w:szCs w:val="20"/>
              </w:rPr>
              <w:t>scopy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, changes in the energy states of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molecules</w:t>
            </w:r>
            <w:r w:rsidR="00560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occur</w:t>
            </w:r>
            <w:r w:rsidR="00560D84">
              <w:rPr>
                <w:rFonts w:ascii="Times New Roman" w:hAnsi="Times New Roman"/>
                <w:sz w:val="20"/>
                <w:szCs w:val="20"/>
              </w:rPr>
              <w:t>ring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in the processes of interaction, absorption, emission and scattering of radiation and matter.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The student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build</w:t>
            </w:r>
            <w:r w:rsidR="00446D54">
              <w:rPr>
                <w:rFonts w:ascii="Times New Roman" w:hAnsi="Times New Roman"/>
                <w:sz w:val="20"/>
                <w:szCs w:val="20"/>
              </w:rPr>
              <w:t>ing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sz w:val="20"/>
                <w:szCs w:val="20"/>
              </w:rPr>
              <w:t>their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knowledge acquired at previous levels of study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understa</w:t>
            </w:r>
            <w:r>
              <w:rPr>
                <w:rFonts w:ascii="Times New Roman" w:hAnsi="Times New Roman"/>
                <w:sz w:val="20"/>
                <w:szCs w:val="20"/>
              </w:rPr>
              <w:t>nd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formation of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 xml:space="preserve">molecular spectra, structure of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molecules'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spectra of (linear, diatomic and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F0E5F">
              <w:rPr>
                <w:rFonts w:ascii="Times New Roman" w:hAnsi="Times New Roman"/>
                <w:sz w:val="20"/>
                <w:szCs w:val="20"/>
              </w:rPr>
              <w:t>multiatomic), as well as solving specific problems.</w:t>
            </w:r>
          </w:p>
          <w:p w14:paraId="4F147635" w14:textId="48DC88D7" w:rsidR="001F0E5F" w:rsidRPr="0060661F" w:rsidRDefault="001F0E5F" w:rsidP="001F0E5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177EA0C" w14:textId="3630DCB5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4">
              <w:rPr>
                <w:rFonts w:ascii="Times New Roman" w:hAnsi="Times New Roman"/>
                <w:sz w:val="20"/>
                <w:szCs w:val="20"/>
              </w:rPr>
              <w:t xml:space="preserve">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446D54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305AA0DB" w14:textId="11AFFC2D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46D54">
              <w:rPr>
                <w:rFonts w:ascii="Times New Roman" w:hAnsi="Times New Roman"/>
                <w:sz w:val="20"/>
                <w:szCs w:val="20"/>
              </w:rPr>
              <w:t xml:space="preserve">understand how experimental and theoretical methods are complemented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 w:rsidRPr="00446D54">
              <w:rPr>
                <w:rFonts w:ascii="Times New Roman" w:hAnsi="Times New Roman"/>
                <w:sz w:val="20"/>
                <w:szCs w:val="20"/>
              </w:rPr>
              <w:t xml:space="preserve"> interpret spectra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FD9CAE0" w14:textId="16F2F658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4">
              <w:rPr>
                <w:rFonts w:ascii="Times New Roman" w:hAnsi="Times New Roman"/>
                <w:sz w:val="20"/>
                <w:szCs w:val="20"/>
              </w:rPr>
              <w:t xml:space="preserve">- interpret spectra </w:t>
            </w:r>
            <w:r>
              <w:rPr>
                <w:rFonts w:ascii="Times New Roman" w:hAnsi="Times New Roman"/>
                <w:sz w:val="20"/>
                <w:szCs w:val="20"/>
              </w:rPr>
              <w:t>to get</w:t>
            </w:r>
            <w:r w:rsidRPr="00446D54">
              <w:rPr>
                <w:rFonts w:ascii="Times New Roman" w:hAnsi="Times New Roman"/>
                <w:sz w:val="20"/>
                <w:szCs w:val="20"/>
              </w:rPr>
              <w:t xml:space="preserve"> information about the structure of molecules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48BAA3" w14:textId="37E98A4B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4">
              <w:rPr>
                <w:rFonts w:ascii="Times New Roman" w:hAnsi="Times New Roman"/>
                <w:sz w:val="20"/>
                <w:szCs w:val="20"/>
              </w:rPr>
              <w:t>- based on the acquired theoretical and practical knowledge apply the same in concrete cases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E2CA8B9" w14:textId="017264F5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4">
              <w:rPr>
                <w:rFonts w:ascii="Times New Roman" w:hAnsi="Times New Roman"/>
                <w:sz w:val="20"/>
                <w:szCs w:val="20"/>
              </w:rPr>
              <w:t>- successfully and thoroughly explain the laws by which phenomena occur obey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251B32C" w14:textId="062170AA" w:rsidR="00446D54" w:rsidRPr="00446D54" w:rsidRDefault="00446D54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4">
              <w:rPr>
                <w:rFonts w:ascii="Times New Roman" w:hAnsi="Times New Roman"/>
                <w:sz w:val="20"/>
                <w:szCs w:val="20"/>
              </w:rPr>
              <w:t>- clearly explain the areas covered by the subject in writing and orally on the given topic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B481AB" w14:textId="297AA72F" w:rsidR="0060661F" w:rsidRPr="0060661F" w:rsidRDefault="0060661F" w:rsidP="00446D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110E08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7811B63" w14:textId="33252A77" w:rsidR="00076E8B" w:rsidRDefault="00670720" w:rsidP="0067072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720">
              <w:rPr>
                <w:rFonts w:ascii="Times New Roman" w:hAnsi="Times New Roman"/>
                <w:sz w:val="20"/>
                <w:szCs w:val="20"/>
              </w:rPr>
              <w:t>Introduction to molecular spectroscopy. Subject of study and application. The total energy of the molecule,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potential curves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 xml:space="preserve"> Types of molecular spectra 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regions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of their appearance. Obtaining molecular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spectra (absorption and emission). Born-Oppenheimer theory. Transition moments, transition intensity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width of spectral transitions.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Rotational and vibrational molecular spectra of polyatomic molecules.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Franck-Condon progression in electronic spectra of polyatomic molecules. Selection rules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spectra in the IR region and Raman scattering. Spectra of condensed systems. Application of IR spectra of gases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and steam and condensed systems. Raman spectra and the Raman effect. Rotational and vibrational Raman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spectra. Resonance and electronic Raman spectra. Intensity of Raman bands, exclusion rules.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Comparison of IR and Raman spectra. Application of Raman spectra. Resonance Raman spectroscopy.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Polarization in Raman scattering. Electronic spectra of molecules. Molecular orbitals (diagram).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 xml:space="preserve">Electronic switches. Molecule dissociation energy. Isotope effect. Electronic spectra of benzene </w:t>
            </w:r>
            <w:r w:rsidR="00296EF9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vibrational structure. Molecular-orbital diagrams. Intensity of absorption bands. Spectra</w:t>
            </w:r>
            <w:r w:rsid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of organic compounds Spectra of inorganic compounds (d-d transitions, crystal ligand field theory).</w:t>
            </w:r>
            <w:r w:rsid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Charge transfer transitions. Photoelectron spectroscopy. Ultra – purple</w:t>
            </w:r>
            <w:r w:rsid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720">
              <w:rPr>
                <w:rFonts w:ascii="Times New Roman" w:hAnsi="Times New Roman"/>
                <w:sz w:val="20"/>
                <w:szCs w:val="20"/>
              </w:rPr>
              <w:t>photoelectron spectrum of molecules. X-ray fluorescence spectroscopy. Laser spectroscopy.</w:t>
            </w:r>
          </w:p>
          <w:p w14:paraId="291719C4" w14:textId="05451D49" w:rsidR="00670720" w:rsidRPr="00B65D38" w:rsidRDefault="00670720" w:rsidP="0067072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DB6712A" w14:textId="77777777" w:rsid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 xml:space="preserve">1. A. A. Jovanović,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Molekulska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spektroskopija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Fizičku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hemiju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>, Beograd, 2002.</w:t>
            </w:r>
          </w:p>
          <w:p w14:paraId="276EB67E" w14:textId="051D3CE9" w:rsidR="00296EF9" w:rsidRP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>2. Ј. М. Hollas, Modern Spectroscopy, John Wiley &amp; Sons, Chichester, 2004.</w:t>
            </w:r>
          </w:p>
          <w:p w14:paraId="5D5BD50B" w14:textId="77777777" w:rsidR="00296EF9" w:rsidRP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 xml:space="preserve">3. J. L. Me Hale, Molecular Spectroscopy, Upper Saddle River,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Premtice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Hall, 1999.</w:t>
            </w:r>
          </w:p>
          <w:p w14:paraId="7E159CDE" w14:textId="77777777" w:rsid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 xml:space="preserve">4. Ž.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Bariol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, Ž-L. Rivas,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Spektroskopije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molekula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Fizičku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hemiju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>, Beograd, 1992.</w:t>
            </w:r>
          </w:p>
          <w:p w14:paraId="1AB05300" w14:textId="03E833BD" w:rsidR="00296EF9" w:rsidRP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 xml:space="preserve">5. F.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>, Chemical Analysis, John Wiley and Sons, Chichester, England, 2008.</w:t>
            </w:r>
          </w:p>
          <w:p w14:paraId="796CF572" w14:textId="77777777" w:rsidR="00296EF9" w:rsidRP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>6. J. L. McHale, Molecular Spectroscopy, Prentice Hall, New Jersey, 1999.</w:t>
            </w:r>
          </w:p>
          <w:p w14:paraId="64111D6F" w14:textId="2CCEE11A" w:rsidR="00296EF9" w:rsidRP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>7. P. Atkins, J. De Paula, Physical Chemistry, 8th 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EF9">
              <w:rPr>
                <w:rFonts w:ascii="Times New Roman" w:hAnsi="Times New Roman"/>
                <w:sz w:val="20"/>
                <w:szCs w:val="20"/>
              </w:rPr>
              <w:t xml:space="preserve">, Oxford University Press, New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Jork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14:paraId="58F617AA" w14:textId="1B62F807" w:rsidR="00296EF9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EF9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Serija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elektronskih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nastavnih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materijala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razvijenih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okviru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ERASMUS+ NETCHEM </w:t>
            </w:r>
            <w:proofErr w:type="spellStart"/>
            <w:r w:rsidRPr="00296EF9">
              <w:rPr>
                <w:rFonts w:ascii="Times New Roman" w:hAnsi="Times New Roman"/>
                <w:sz w:val="20"/>
                <w:szCs w:val="20"/>
              </w:rPr>
              <w:t>projekta</w:t>
            </w:r>
            <w:proofErr w:type="spellEnd"/>
            <w:r w:rsidRPr="00296EF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9" w:history="1">
              <w:r w:rsidRPr="00F55C6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http://mdl.netchem.ac.rs/course/view.php?id=45</w:t>
              </w:r>
            </w:hyperlink>
            <w:r w:rsidRPr="00296EF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06EC466B" w:rsidR="00296EF9" w:rsidRPr="00CE7231" w:rsidRDefault="00296EF9" w:rsidP="00296EF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140E2FE7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296EF9">
              <w:rPr>
                <w:rFonts w:ascii="Times New Roman" w:hAnsi="Times New Roman"/>
                <w:sz w:val="20"/>
                <w:szCs w:val="20"/>
              </w:rPr>
              <w:t>l</w:t>
            </w:r>
            <w:r w:rsidR="00076E8B" w:rsidRPr="00076E8B">
              <w:rPr>
                <w:rFonts w:ascii="Times New Roman" w:hAnsi="Times New Roman"/>
                <w:sz w:val="20"/>
                <w:szCs w:val="20"/>
              </w:rPr>
              <w:t>ectures, seminar,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0FB6E576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seminar </w:t>
            </w:r>
            <w:r w:rsidR="00ED53C8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EF9">
              <w:rPr>
                <w:rFonts w:ascii="Times New Roman" w:hAnsi="Times New Roman"/>
                <w:sz w:val="20"/>
                <w:szCs w:val="20"/>
              </w:rPr>
              <w:t>4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0 points; </w:t>
            </w:r>
            <w:r w:rsidR="00076E8B"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296EF9">
              <w:rPr>
                <w:rFonts w:ascii="Times New Roman" w:hAnsi="Times New Roman"/>
                <w:sz w:val="20"/>
                <w:szCs w:val="20"/>
              </w:rPr>
              <w:t>60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 w:rsidP="004201CD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76E8B"/>
    <w:rsid w:val="000C5BD4"/>
    <w:rsid w:val="000D6D5E"/>
    <w:rsid w:val="00120A0B"/>
    <w:rsid w:val="001815B5"/>
    <w:rsid w:val="00193B78"/>
    <w:rsid w:val="001E486E"/>
    <w:rsid w:val="001F0E37"/>
    <w:rsid w:val="001F0E5F"/>
    <w:rsid w:val="001F526C"/>
    <w:rsid w:val="00216CCD"/>
    <w:rsid w:val="00266037"/>
    <w:rsid w:val="00296EF9"/>
    <w:rsid w:val="002A4B0C"/>
    <w:rsid w:val="002C17A3"/>
    <w:rsid w:val="00375D47"/>
    <w:rsid w:val="004201CD"/>
    <w:rsid w:val="00446D54"/>
    <w:rsid w:val="00450FFA"/>
    <w:rsid w:val="004525D6"/>
    <w:rsid w:val="00474C37"/>
    <w:rsid w:val="0048349C"/>
    <w:rsid w:val="005452A0"/>
    <w:rsid w:val="00560D84"/>
    <w:rsid w:val="0057337A"/>
    <w:rsid w:val="00577CCF"/>
    <w:rsid w:val="00587F3E"/>
    <w:rsid w:val="005F236E"/>
    <w:rsid w:val="0060661F"/>
    <w:rsid w:val="006102D1"/>
    <w:rsid w:val="00646453"/>
    <w:rsid w:val="00670720"/>
    <w:rsid w:val="006A01B9"/>
    <w:rsid w:val="006F5231"/>
    <w:rsid w:val="006F59DB"/>
    <w:rsid w:val="00776EB4"/>
    <w:rsid w:val="007A2BDF"/>
    <w:rsid w:val="007B13B4"/>
    <w:rsid w:val="007B6E97"/>
    <w:rsid w:val="00871839"/>
    <w:rsid w:val="009232D0"/>
    <w:rsid w:val="009334F4"/>
    <w:rsid w:val="009503C3"/>
    <w:rsid w:val="00965F0F"/>
    <w:rsid w:val="009808F2"/>
    <w:rsid w:val="009A7222"/>
    <w:rsid w:val="009C220E"/>
    <w:rsid w:val="009E32F4"/>
    <w:rsid w:val="00A671C6"/>
    <w:rsid w:val="00A8601C"/>
    <w:rsid w:val="00A95D48"/>
    <w:rsid w:val="00B65D38"/>
    <w:rsid w:val="00BB0BA6"/>
    <w:rsid w:val="00BE04E7"/>
    <w:rsid w:val="00BF752B"/>
    <w:rsid w:val="00C341B2"/>
    <w:rsid w:val="00C4043C"/>
    <w:rsid w:val="00C47988"/>
    <w:rsid w:val="00C85D8F"/>
    <w:rsid w:val="00CC3F76"/>
    <w:rsid w:val="00CD546A"/>
    <w:rsid w:val="00CE7231"/>
    <w:rsid w:val="00D939D4"/>
    <w:rsid w:val="00E9057F"/>
    <w:rsid w:val="00ED53C8"/>
    <w:rsid w:val="00F67284"/>
    <w:rsid w:val="00F828B3"/>
    <w:rsid w:val="00FA471B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mdl.netchem.ac.rs/course/view.php?id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209FF3-1105-486E-8FF9-3648D9CD0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6</cp:revision>
  <dcterms:created xsi:type="dcterms:W3CDTF">2022-12-24T20:50:00Z</dcterms:created>
  <dcterms:modified xsi:type="dcterms:W3CDTF">2022-12-24T21:20:00Z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