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0E1E0452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55C9D" w:rsidRPr="00455C9D">
              <w:rPr>
                <w:rFonts w:ascii="Times New Roman" w:hAnsi="Times New Roman"/>
                <w:sz w:val="20"/>
                <w:szCs w:val="20"/>
              </w:rPr>
              <w:t xml:space="preserve">Multidisciplinary </w:t>
            </w:r>
            <w:r w:rsidR="00455C9D">
              <w:rPr>
                <w:rFonts w:ascii="Times New Roman" w:hAnsi="Times New Roman"/>
                <w:sz w:val="20"/>
                <w:szCs w:val="20"/>
              </w:rPr>
              <w:t>A</w:t>
            </w:r>
            <w:r w:rsidR="00455C9D" w:rsidRPr="00455C9D">
              <w:rPr>
                <w:rFonts w:ascii="Times New Roman" w:hAnsi="Times New Roman"/>
                <w:sz w:val="20"/>
                <w:szCs w:val="20"/>
              </w:rPr>
              <w:t xml:space="preserve">spects of </w:t>
            </w:r>
            <w:r w:rsidR="00455C9D">
              <w:rPr>
                <w:rFonts w:ascii="Times New Roman" w:hAnsi="Times New Roman"/>
                <w:sz w:val="20"/>
                <w:szCs w:val="20"/>
              </w:rPr>
              <w:t>I</w:t>
            </w:r>
            <w:r w:rsidR="00455C9D" w:rsidRPr="00455C9D">
              <w:rPr>
                <w:rFonts w:ascii="Times New Roman" w:hAnsi="Times New Roman"/>
                <w:sz w:val="20"/>
                <w:szCs w:val="20"/>
              </w:rPr>
              <w:t xml:space="preserve">norganic </w:t>
            </w:r>
            <w:r w:rsidR="00455C9D">
              <w:rPr>
                <w:rFonts w:ascii="Times New Roman" w:hAnsi="Times New Roman"/>
                <w:sz w:val="20"/>
                <w:szCs w:val="20"/>
              </w:rPr>
              <w:t>C</w:t>
            </w:r>
            <w:r w:rsidR="00455C9D" w:rsidRPr="00455C9D">
              <w:rPr>
                <w:rFonts w:ascii="Times New Roman" w:hAnsi="Times New Roman"/>
                <w:sz w:val="20"/>
                <w:szCs w:val="20"/>
              </w:rPr>
              <w:t>hemistry</w:t>
            </w:r>
            <w:r w:rsidR="00455C9D" w:rsidRPr="00455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455C9D">
              <w:rPr>
                <w:rFonts w:ascii="Times New Roman" w:hAnsi="Times New Roman"/>
                <w:sz w:val="20"/>
                <w:szCs w:val="20"/>
              </w:rPr>
              <w:t>21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59E04CAE" w:rsidR="00CC3F76" w:rsidRPr="00037DE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455C9D">
              <w:rPr>
                <w:rFonts w:ascii="Times New Roman" w:hAnsi="Times New Roman"/>
                <w:sz w:val="20"/>
                <w:szCs w:val="20"/>
              </w:rPr>
              <w:t>Nenad S. Krstić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77777777" w:rsidR="0060661F" w:rsidRDefault="00CE7231" w:rsidP="00606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361FA54" w14:textId="048A45B1" w:rsidR="00455C9D" w:rsidRDefault="00455C9D" w:rsidP="00455C9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C9D">
              <w:rPr>
                <w:rFonts w:ascii="Times New Roman" w:hAnsi="Times New Roman"/>
                <w:sz w:val="20"/>
                <w:szCs w:val="20"/>
              </w:rPr>
              <w:t xml:space="preserve">Introducing students 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 xml:space="preserve"> the application of inorganic chemistry in the fields of interdisciplinary research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 xml:space="preserve">development. Students will be introduced </w:t>
            </w:r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 xml:space="preserve"> the latest scientific research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 xml:space="preserve"> inorganic chemistry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>one of the sciences in them.</w:t>
            </w:r>
            <w:r w:rsidRPr="00455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147635" w14:textId="13551DB9" w:rsidR="00455C9D" w:rsidRPr="0060661F" w:rsidRDefault="00455C9D" w:rsidP="00455C9D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84FC6BE" w14:textId="2681F77D" w:rsidR="00FC1404" w:rsidRPr="00FC1404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404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be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is able to:</w:t>
            </w:r>
          </w:p>
          <w:p w14:paraId="37885146" w14:textId="6442554A" w:rsidR="00FC1404" w:rsidRPr="00FC1404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understand the importance of an interdisciplinary approach in research and development,</w:t>
            </w:r>
          </w:p>
          <w:p w14:paraId="13D23974" w14:textId="043B4478" w:rsidR="00FC1404" w:rsidRPr="00FC1404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can independently monitor, search and process the latest trends in science depending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issues it deals with</w:t>
            </w:r>
            <w:r w:rsidR="00ED7A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C50BC85" w14:textId="56E7C441" w:rsidR="00037DE4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 xml:space="preserve">understand the connection and importance of inorganic chemistry and other sciences (biology, physics, engineering, etc.)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complex research.</w:t>
            </w:r>
          </w:p>
          <w:p w14:paraId="11B481AB" w14:textId="18082A70" w:rsidR="00FC1404" w:rsidRPr="0060661F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F293603" w14:textId="78DBF8B5" w:rsidR="00037DE4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404">
              <w:rPr>
                <w:rFonts w:ascii="Times New Roman" w:hAnsi="Times New Roman"/>
                <w:sz w:val="20"/>
                <w:szCs w:val="20"/>
              </w:rPr>
              <w:t xml:space="preserve">Introduction to the subject. </w:t>
            </w:r>
            <w:r w:rsidR="006912B1" w:rsidRPr="00FC1404">
              <w:rPr>
                <w:rFonts w:ascii="Times New Roman" w:hAnsi="Times New Roman"/>
                <w:sz w:val="20"/>
                <w:szCs w:val="20"/>
              </w:rPr>
              <w:t>Multidisciplinary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 xml:space="preserve"> in research and development. Good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 xml:space="preserve">aboratory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ractice (ISO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standards). Literature search. Methodology of scientific research. 3D (bio)printing.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Inorganic materials in biochemical tests. Inorganic nanomaterials. Sensors on the base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of inorganic materials for the detection of inorganic and organic pollutants. Inorganic biosorbents.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New aspects of inorganic chemistry in construction. Biomaterials (implants). Magnetic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04">
              <w:rPr>
                <w:rFonts w:ascii="Times New Roman" w:hAnsi="Times New Roman"/>
                <w:sz w:val="20"/>
                <w:szCs w:val="20"/>
              </w:rPr>
              <w:t>materials, materials for the electronic industry and superconductors.</w:t>
            </w:r>
          </w:p>
          <w:p w14:paraId="291719C4" w14:textId="4161C757" w:rsidR="00FC1404" w:rsidRPr="00033C7B" w:rsidRDefault="00FC1404" w:rsidP="00FC140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8FCFDA2" w14:textId="77777777" w:rsidR="006912B1" w:rsidRPr="006912B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>1. R. Xu, Y. Xu, Modern inorganic syntetic chemistry (2nd edition), Elsevier, 2007.</w:t>
            </w:r>
          </w:p>
          <w:p w14:paraId="3C9AE01B" w14:textId="372E3571" w:rsidR="006912B1" w:rsidRPr="006912B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 xml:space="preserve">2. T. W. Swaddle, Inorganic Chemistry, An Industrial and Environmental Perspective, Academic Press, 1997. </w:t>
            </w:r>
          </w:p>
          <w:p w14:paraId="1C9444C0" w14:textId="77777777" w:rsidR="006912B1" w:rsidRPr="006912B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>3. K. H. Büchel, H-H. Moretto, D. Werner, P. Woditsch, Industrial Inorganic Chemistry, Wiley, 2006.</w:t>
            </w:r>
          </w:p>
          <w:p w14:paraId="7F1E4486" w14:textId="77777777" w:rsidR="006912B1" w:rsidRPr="006912B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 xml:space="preserve">4. R. H. Petrucci, W. S. Harwood, F. G. Herring, General chemistry: principles and modern applications, Pearson/ </w:t>
            </w:r>
          </w:p>
          <w:p w14:paraId="0D815F35" w14:textId="77777777" w:rsidR="00037DE4" w:rsidRPr="006912B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>Prentice Hall, New York, 2007.</w:t>
            </w:r>
          </w:p>
          <w:p w14:paraId="68441527" w14:textId="1A38BB97" w:rsidR="006912B1" w:rsidRPr="00CE7231" w:rsidRDefault="006912B1" w:rsidP="006912B1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50DA94FD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912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>lectures,</w:t>
            </w:r>
            <w:r w:rsidR="00C76893" w:rsidRPr="00C76893">
              <w:rPr>
                <w:rFonts w:ascii="Times New Roman" w:hAnsi="Times New Roman"/>
                <w:sz w:val="20"/>
                <w:szCs w:val="20"/>
              </w:rPr>
              <w:t xml:space="preserve"> seminar,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70956457" w:rsidR="00B65D38" w:rsidRPr="00B65D38" w:rsidRDefault="006912B1" w:rsidP="0034603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12B1">
              <w:rPr>
                <w:rFonts w:ascii="Times New Roman" w:hAnsi="Times New Roman"/>
                <w:sz w:val="20"/>
                <w:szCs w:val="20"/>
              </w:rPr>
              <w:t>activity during lectures - 5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912B1">
              <w:rPr>
                <w:rFonts w:ascii="Times New Roman" w:hAnsi="Times New Roman"/>
                <w:sz w:val="20"/>
                <w:szCs w:val="20"/>
              </w:rPr>
              <w:t xml:space="preserve"> seminar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912B1">
              <w:rPr>
                <w:rFonts w:ascii="Times New Roman" w:hAnsi="Times New Roman"/>
                <w:sz w:val="20"/>
                <w:szCs w:val="20"/>
              </w:rPr>
              <w:t xml:space="preserve"> - 50 points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6912B1">
              <w:rPr>
                <w:rFonts w:ascii="Times New Roman" w:hAnsi="Times New Roman"/>
                <w:sz w:val="20"/>
                <w:szCs w:val="20"/>
              </w:rPr>
              <w:t xml:space="preserve"> oral exam - 45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33C7B"/>
    <w:rsid w:val="00037DE4"/>
    <w:rsid w:val="000C5BD4"/>
    <w:rsid w:val="000D6D5E"/>
    <w:rsid w:val="000F7156"/>
    <w:rsid w:val="00107326"/>
    <w:rsid w:val="00120A0B"/>
    <w:rsid w:val="00147A71"/>
    <w:rsid w:val="00171398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46034"/>
    <w:rsid w:val="00360F41"/>
    <w:rsid w:val="00375D47"/>
    <w:rsid w:val="003B2073"/>
    <w:rsid w:val="003E2D20"/>
    <w:rsid w:val="004525D6"/>
    <w:rsid w:val="00455C9D"/>
    <w:rsid w:val="00474C37"/>
    <w:rsid w:val="0048349C"/>
    <w:rsid w:val="005452A0"/>
    <w:rsid w:val="005720EB"/>
    <w:rsid w:val="0057337A"/>
    <w:rsid w:val="00577CCF"/>
    <w:rsid w:val="00587F3E"/>
    <w:rsid w:val="0060661F"/>
    <w:rsid w:val="00646453"/>
    <w:rsid w:val="006912B1"/>
    <w:rsid w:val="006A01B9"/>
    <w:rsid w:val="006F5231"/>
    <w:rsid w:val="006F59DB"/>
    <w:rsid w:val="00776EB4"/>
    <w:rsid w:val="007A2BDF"/>
    <w:rsid w:val="007B6E97"/>
    <w:rsid w:val="00803ACD"/>
    <w:rsid w:val="008409F5"/>
    <w:rsid w:val="00871839"/>
    <w:rsid w:val="00883432"/>
    <w:rsid w:val="009232D0"/>
    <w:rsid w:val="009334F4"/>
    <w:rsid w:val="009503C3"/>
    <w:rsid w:val="00965F0F"/>
    <w:rsid w:val="009808F2"/>
    <w:rsid w:val="009C220E"/>
    <w:rsid w:val="009E32F4"/>
    <w:rsid w:val="00A671C6"/>
    <w:rsid w:val="00A8601C"/>
    <w:rsid w:val="00B44194"/>
    <w:rsid w:val="00B65D38"/>
    <w:rsid w:val="00BB0BA6"/>
    <w:rsid w:val="00BF4895"/>
    <w:rsid w:val="00BF752B"/>
    <w:rsid w:val="00C341B2"/>
    <w:rsid w:val="00C4043C"/>
    <w:rsid w:val="00C47988"/>
    <w:rsid w:val="00C76893"/>
    <w:rsid w:val="00CC3F76"/>
    <w:rsid w:val="00CD546A"/>
    <w:rsid w:val="00CE7231"/>
    <w:rsid w:val="00D73533"/>
    <w:rsid w:val="00D939D4"/>
    <w:rsid w:val="00E9057F"/>
    <w:rsid w:val="00EB4575"/>
    <w:rsid w:val="00ED7A5A"/>
    <w:rsid w:val="00F67284"/>
    <w:rsid w:val="00F828B3"/>
    <w:rsid w:val="00FA5352"/>
    <w:rsid w:val="00FC1404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F08C-326F-4427-A83F-C993E950A4DE}"/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6</cp:revision>
  <dcterms:created xsi:type="dcterms:W3CDTF">2022-12-24T23:13:00Z</dcterms:created>
  <dcterms:modified xsi:type="dcterms:W3CDTF">2022-12-24T23:24:00Z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