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311F53AA" w:rsidR="00CC3F76" w:rsidRPr="00F6712E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F6712E">
              <w:rPr>
                <w:rFonts w:ascii="Times New Roman" w:hAnsi="Times New Roman"/>
                <w:bCs/>
                <w:sz w:val="20"/>
                <w:szCs w:val="20"/>
              </w:rPr>
              <w:t>Organic chemistry 2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45F95FFF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F6712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6712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Niko S. Radulović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7F537178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F6712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6712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712F0563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F6712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6712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8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3EE9F73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006190AA" w14:textId="3916A9C7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Getting to know the basic concepts of the structure and reactions of selecte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 classes of organic compounds, 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nomenclature of these compounds, dependence of physical and chemical properties and structure of molecules,</w:t>
            </w:r>
          </w:p>
          <w:p w14:paraId="4F147635" w14:textId="3E70810E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possibilities of synthesis of organic molecules and their application. Correlat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ion of structure and reactivity 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of organic molecules and its application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D13D9F6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529C8DB1" w14:textId="1FF8E4DE" w:rsidR="00F6712E" w:rsidRPr="00F6712E" w:rsidRDefault="00F6712E" w:rsidP="00F671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After completing 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course, the student should: know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the connection between physical and chemical properties</w:t>
            </w:r>
          </w:p>
          <w:p w14:paraId="11B481AB" w14:textId="73132FA9" w:rsidR="00F6712E" w:rsidRPr="00F6712E" w:rsidRDefault="00F6712E" w:rsidP="00F671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of organic compounds and their structure and stereochemistry, to name organic compounds according to the IUPAC nomenclature and adopt the basic principles of naming and stereochemis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try of natural and more complex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synthetic organic compounds, underst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ands the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transform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ations of functional groups and 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mechanisms of organic reactions of mono- and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polyfunctional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mpounds, be able to apply them </w:t>
            </w: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of organic transformations in biological systems.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218676C" w14:textId="316F1141" w:rsidR="00F6712E" w:rsidRPr="00F6712E" w:rsidRDefault="00F6712E" w:rsidP="00F671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Structure, nomenclature, production, physical properties and reac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tions: alkyl- and aryl-halides,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organometallic compounds, alcohols, ethers,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organo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-sulfur 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ompounds, phenols.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Nucleophilic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substitution. Amines and their derivatives: synthesis and properties. Correlation of 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ructure and basicity of amines.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Nitro compounds: structure and properties. Aromatic nitro compounds, exp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losives. Aldehydes and ketones: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structure, properties and synthesis.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Nucleophilic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addition to the carbonyl group.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Enolates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enols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Ketoenolic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tautomery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Aldol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reaction. Properties of α,β-unsaturated aldehydes and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ketones and conjugate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addition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reactions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. Carboxylic acids: structure, properties and synthesis. Correlation 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 structure and acidity.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Reactions of carboxylic acids. Conversion to carboxylic acids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derivatives.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Nucleo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philic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carbonyl substitution. α-h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alogen substituted acids and their reactions. Derivatives of carboxylic acids: acyl halides, anhydrides, esters, amides and nitriles. Structure, properties, synthesis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and reactivity in the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nucleophilic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carbonyl substitutions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reaction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. Synthesis and reactions of β-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dicarbonyl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compounds.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nolates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and </w:t>
            </w:r>
            <w:proofErr w:type="spellStart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Claisen</w:t>
            </w:r>
            <w:proofErr w:type="spellEnd"/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condensation. Malone ester and acetic ester synthesis. Introduction to synthesis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strategy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0CF5A8CF" w14:textId="789993EA" w:rsidR="001815B5" w:rsidRDefault="00F6712E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Practical</w:t>
            </w:r>
            <w:r w:rsidR="00CE72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</w:t>
            </w:r>
          </w:p>
          <w:p w14:paraId="291719C4" w14:textId="5E20D64B" w:rsidR="00F6712E" w:rsidRPr="00F6712E" w:rsidRDefault="00F6712E" w:rsidP="00F671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 xml:space="preserve">Theoretical exercises that follow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lectures</w:t>
            </w:r>
            <w:r w:rsidRPr="00F6712E">
              <w:rPr>
                <w:rFonts w:ascii="Times New Roman" w:hAnsi="Times New Roman"/>
                <w:iCs/>
                <w:sz w:val="20"/>
                <w:szCs w:val="20"/>
              </w:rPr>
              <w:t>, and illustrate the most important organic reactions.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CC9F5FB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5AE3B33" w14:textId="77777777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K.P.C.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Volhard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N.E.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Šore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4.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izdanje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, Data Status, Beograd, 2004.</w:t>
            </w:r>
          </w:p>
          <w:p w14:paraId="182206F5" w14:textId="2F8D0CCE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S.H.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Pajn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kemija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, Zagreb, 1994.</w:t>
            </w:r>
          </w:p>
          <w:p w14:paraId="6C71A4B1" w14:textId="4D24A152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T.W. Graham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Solomons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C.B.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Fryhle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Organic Chemistry, 8th ed., John Wiley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Inc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, New York, 2004.</w:t>
            </w:r>
          </w:p>
          <w:p w14:paraId="68441527" w14:textId="7420F50F" w:rsidR="00F6712E" w:rsidRPr="00F6712E" w:rsidRDefault="00F6712E" w:rsidP="00F671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Ž.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Čeković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Eksperimentalna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organska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Hemijski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Pr="00F6712E">
              <w:rPr>
                <w:rFonts w:ascii="Times New Roman" w:hAnsi="Times New Roman"/>
                <w:bCs/>
                <w:sz w:val="20"/>
                <w:szCs w:val="20"/>
              </w:rPr>
              <w:t>, Beograd, 1995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0101B609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F671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712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5E8ABE7F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F671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712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27861A93" w:rsidR="00CC3F76" w:rsidRPr="00F6712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F671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6712E">
              <w:rPr>
                <w:rFonts w:ascii="Times New Roman" w:hAnsi="Times New Roman"/>
                <w:bCs/>
                <w:sz w:val="20"/>
                <w:szCs w:val="20"/>
              </w:rPr>
              <w:t>lectures, theoretical exercises, homework, seminar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5EB648FA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76B73282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121A74EB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D199EAF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3B8504E8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712E" w:rsidRPr="00092214" w14:paraId="3557D0D9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44319907" w14:textId="04F3DCEB" w:rsidR="00F6712E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Homework</w:t>
            </w:r>
          </w:p>
        </w:tc>
        <w:tc>
          <w:tcPr>
            <w:tcW w:w="1960" w:type="dxa"/>
            <w:vAlign w:val="center"/>
          </w:tcPr>
          <w:p w14:paraId="3DC8741D" w14:textId="7919FAAA" w:rsid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4E1B5CD1" w14:textId="77777777" w:rsidR="00F6712E" w:rsidRPr="00F67284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AC4A76E" w14:textId="77777777" w:rsidR="00F6712E" w:rsidRPr="00F67284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4B24969" w:rsidR="00CC3F76" w:rsidRPr="00F6712E" w:rsidRDefault="00F6712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12E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2C6DC-AB9C-4DEB-AD85-1BA6ED639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2022-12-23T16:44:00Z</dcterms:created>
  <dcterms:modified xsi:type="dcterms:W3CDTF">2022-12-23T16:44:00Z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