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2"/>
        <w:gridCol w:w="1928"/>
        <w:gridCol w:w="1146"/>
        <w:gridCol w:w="1991"/>
        <w:gridCol w:w="1233"/>
      </w:tblGrid>
      <w:tr w:rsidRPr="00D65A9B" w:rsidR="000A42EF" w:rsidTr="0B63A2FE" w14:paraId="195D4B96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D65A9B" w:rsidR="000A42EF" w:rsidP="00406942" w:rsidRDefault="000A42EF" w14:paraId="4105DF8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Study program     </w:t>
            </w:r>
            <w:r w:rsidRPr="00820994">
              <w:rPr>
                <w:rFonts w:ascii="Times New Roman" w:hAnsi="Times New Roman"/>
              </w:rPr>
              <w:t>Undergraduate Studies</w:t>
            </w:r>
          </w:p>
        </w:tc>
      </w:tr>
      <w:tr w:rsidRPr="00D65A9B" w:rsidR="000A42EF" w:rsidTr="0B63A2FE" w14:paraId="6FF58FE0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D65A9B" w:rsidR="000A42EF" w:rsidP="00122272" w:rsidRDefault="000A42EF" w14:paraId="2B29718A" w14:textId="4D5C9578">
            <w:pPr>
              <w:rPr>
                <w:rFonts w:ascii="Times New Roman" w:hAnsi="Times New Roman"/>
              </w:rPr>
            </w:pPr>
            <w:r w:rsidRPr="0B63A2FE" w:rsidR="000A42EF">
              <w:rPr>
                <w:rFonts w:ascii="Times New Roman" w:hAnsi="Times New Roman"/>
                <w:b w:val="1"/>
                <w:bCs w:val="1"/>
              </w:rPr>
              <w:t xml:space="preserve">Course title       </w:t>
            </w:r>
            <w:r w:rsidRPr="0B63A2FE" w:rsidR="00122272">
              <w:rPr>
                <w:rFonts w:ascii="Times New Roman" w:hAnsi="Times New Roman"/>
              </w:rPr>
              <w:t>Physical chemistry of s</w:t>
            </w:r>
            <w:r w:rsidRPr="0B63A2FE" w:rsidR="50BAC38E">
              <w:rPr>
                <w:rFonts w:ascii="Times New Roman" w:hAnsi="Times New Roman"/>
              </w:rPr>
              <w:t>urfaces</w:t>
            </w:r>
            <w:r w:rsidRPr="0B63A2FE" w:rsidR="00330805">
              <w:rPr>
                <w:rFonts w:ascii="Times New Roman" w:hAnsi="Times New Roman"/>
              </w:rPr>
              <w:t xml:space="preserve"> (H119C)</w:t>
            </w:r>
          </w:p>
        </w:tc>
      </w:tr>
      <w:tr w:rsidRPr="00D65A9B" w:rsidR="000A42EF" w:rsidTr="0B63A2FE" w14:paraId="44B538F6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A12A5E" w:rsidR="000A42EF" w:rsidP="00406942" w:rsidRDefault="000A42EF" w14:paraId="3A9D6EEC" w14:textId="5BE9B4F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Name of lecturer/lecturers </w:t>
            </w:r>
            <w:r>
              <w:rPr>
                <w:rFonts w:ascii="Times New Roman" w:hAnsi="Times New Roman"/>
              </w:rPr>
              <w:t xml:space="preserve"> </w:t>
            </w:r>
            <w:r w:rsidR="00122272">
              <w:rPr>
                <w:rFonts w:ascii="Times New Roman" w:hAnsi="Times New Roman"/>
              </w:rPr>
              <w:t>Emilija Pecev Marinković</w:t>
            </w:r>
          </w:p>
        </w:tc>
      </w:tr>
      <w:tr w:rsidRPr="00D65A9B" w:rsidR="000A42EF" w:rsidTr="0B63A2FE" w14:paraId="6436BBAC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D65A9B" w:rsidR="000A42EF" w:rsidP="00406942" w:rsidRDefault="000A42EF" w14:paraId="77571E6A" w14:textId="10741E3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Type of course</w:t>
            </w:r>
            <w:r w:rsidRPr="00D65A9B">
              <w:rPr>
                <w:rFonts w:ascii="Times New Roman" w:hAnsi="Times New Roman"/>
                <w:b/>
                <w:bCs/>
                <w:lang w:val="sr-Latn-RS"/>
              </w:rPr>
              <w:t xml:space="preserve">       </w:t>
            </w:r>
            <w:r w:rsidRPr="00122272" w:rsidR="00122272">
              <w:rPr>
                <w:rFonts w:ascii="Times New Roman" w:hAnsi="Times New Roman"/>
                <w:lang w:val="sr-Latn-RS"/>
              </w:rPr>
              <w:t>Elective</w:t>
            </w:r>
          </w:p>
        </w:tc>
      </w:tr>
      <w:tr w:rsidRPr="00D65A9B" w:rsidR="000A42EF" w:rsidTr="0B63A2FE" w14:paraId="50F768AB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1C4AB3" w:rsidR="000A42EF" w:rsidP="00406942" w:rsidRDefault="000A42EF" w14:paraId="22CA965E" w14:textId="6A312C6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Number of ECTS allocated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  </w:t>
            </w:r>
            <w:r w:rsidR="00122272">
              <w:rPr>
                <w:rFonts w:ascii="Times New Roman" w:hAnsi="Times New Roman"/>
                <w:b/>
                <w:bCs/>
                <w:lang w:val="sr-Latn-RS"/>
              </w:rPr>
              <w:t>4</w:t>
            </w:r>
          </w:p>
        </w:tc>
      </w:tr>
      <w:tr w:rsidRPr="00D65A9B" w:rsidR="000A42EF" w:rsidTr="0B63A2FE" w14:paraId="7F895347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D65A9B" w:rsidR="000A42EF" w:rsidP="000A42EF" w:rsidRDefault="000A42EF" w14:paraId="3E773DC4" w14:textId="2D94F66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Course objectives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Pr="000A42EF">
              <w:rPr>
                <w:rFonts w:ascii="Times New Roman" w:hAnsi="Times New Roman"/>
              </w:rPr>
              <w:t>Expanding knowledge about processes at phase boundaries, with special emphasis on the solid/liquid phase boundary,</w:t>
            </w:r>
            <w:r>
              <w:rPr>
                <w:rFonts w:ascii="Times New Roman" w:hAnsi="Times New Roman"/>
              </w:rPr>
              <w:t xml:space="preserve"> </w:t>
            </w:r>
            <w:r w:rsidRPr="000A42EF">
              <w:rPr>
                <w:rFonts w:ascii="Times New Roman" w:hAnsi="Times New Roman"/>
              </w:rPr>
              <w:t>deepening knowledge of thermodynamic analysis of surface phenomena and improving characterization skills</w:t>
            </w:r>
            <w:r>
              <w:rPr>
                <w:rFonts w:ascii="Times New Roman" w:hAnsi="Times New Roman"/>
              </w:rPr>
              <w:t xml:space="preserve"> </w:t>
            </w:r>
            <w:r w:rsidRPr="000A42EF">
              <w:rPr>
                <w:rFonts w:ascii="Times New Roman" w:hAnsi="Times New Roman"/>
              </w:rPr>
              <w:t>processes at phase boundaries that are important for understanding numerous phenomena in the environment and adsorption-catalytic processes. Students are introduced to basic thermodynamic principles and concepts in</w:t>
            </w:r>
            <w:r>
              <w:rPr>
                <w:rFonts w:ascii="Times New Roman" w:hAnsi="Times New Roman"/>
              </w:rPr>
              <w:t xml:space="preserve"> </w:t>
            </w:r>
            <w:r w:rsidRPr="000A42EF">
              <w:rPr>
                <w:rFonts w:ascii="Times New Roman" w:hAnsi="Times New Roman"/>
              </w:rPr>
              <w:t>consideration of the solid phase. Students gain knowledge about the basic thermodynamic quantities of states; balance and</w:t>
            </w:r>
            <w:r>
              <w:rPr>
                <w:rFonts w:ascii="Times New Roman" w:hAnsi="Times New Roman"/>
              </w:rPr>
              <w:t xml:space="preserve"> </w:t>
            </w:r>
            <w:r w:rsidRPr="000A42EF">
              <w:rPr>
                <w:rFonts w:ascii="Times New Roman" w:hAnsi="Times New Roman"/>
              </w:rPr>
              <w:t>system stability; the theory of phase diagrams and their application in the control of the formation of individual phases</w:t>
            </w:r>
            <w:r>
              <w:rPr>
                <w:rFonts w:ascii="Times New Roman" w:hAnsi="Times New Roman"/>
              </w:rPr>
              <w:t xml:space="preserve"> </w:t>
            </w:r>
            <w:r w:rsidRPr="000A42EF">
              <w:rPr>
                <w:rFonts w:ascii="Times New Roman" w:hAnsi="Times New Roman"/>
              </w:rPr>
              <w:t>specific composition and properties in heterogeneous systems and phase transformations through examples; basics</w:t>
            </w:r>
            <w:r>
              <w:rPr>
                <w:rFonts w:ascii="Times New Roman" w:hAnsi="Times New Roman"/>
              </w:rPr>
              <w:t xml:space="preserve"> </w:t>
            </w:r>
            <w:r w:rsidRPr="000A42EF">
              <w:rPr>
                <w:rFonts w:ascii="Times New Roman" w:hAnsi="Times New Roman"/>
              </w:rPr>
              <w:t>thermodynamics of surfaces and interfaces.</w:t>
            </w:r>
          </w:p>
        </w:tc>
      </w:tr>
      <w:tr w:rsidRPr="00D65A9B" w:rsidR="000A42EF" w:rsidTr="0B63A2FE" w14:paraId="0EA0A0E7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D65A9B" w:rsidR="000A42EF" w:rsidP="00406942" w:rsidRDefault="000A42EF" w14:paraId="524CCB25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9765A">
              <w:rPr>
                <w:rFonts w:ascii="Times New Roman" w:hAnsi="Times New Roman"/>
                <w:b/>
                <w:bCs/>
              </w:rPr>
              <w:t>Course outcomes</w:t>
            </w:r>
            <w:r w:rsidRPr="0039765A">
              <w:rPr>
                <w:rFonts w:ascii="Times New Roman" w:hAnsi="Times New Roman"/>
              </w:rPr>
              <w:t>.</w:t>
            </w:r>
            <w:r w:rsidRPr="00D65A9B">
              <w:rPr>
                <w:rFonts w:ascii="Times New Roman" w:hAnsi="Times New Roman"/>
              </w:rPr>
              <w:t xml:space="preserve"> </w:t>
            </w:r>
          </w:p>
          <w:p w:rsidRPr="00B67015" w:rsidR="00B67015" w:rsidP="00B67015" w:rsidRDefault="00B67015" w14:paraId="4453F1AE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B67015">
              <w:rPr>
                <w:rFonts w:ascii="Times New Roman" w:hAnsi="Times New Roman"/>
              </w:rPr>
              <w:t>After completing the course, the student will be able to:</w:t>
            </w:r>
          </w:p>
          <w:p w:rsidRPr="00B67015" w:rsidR="00B67015" w:rsidP="00B67015" w:rsidRDefault="00B67015" w14:paraId="636B6E36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B67015">
              <w:rPr>
                <w:rFonts w:ascii="Times New Roman" w:hAnsi="Times New Roman"/>
              </w:rPr>
              <w:t>- fully understands the processes that take place at the boundaries of phases,</w:t>
            </w:r>
          </w:p>
          <w:p w:rsidRPr="00B67015" w:rsidR="00B67015" w:rsidP="00B67015" w:rsidRDefault="00B67015" w14:paraId="2B6FEAD4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B67015">
              <w:rPr>
                <w:rFonts w:ascii="Times New Roman" w:hAnsi="Times New Roman"/>
              </w:rPr>
              <w:t>- independently plans and performs testing of the characteristics of the adsorbent and the adsorption process,</w:t>
            </w:r>
          </w:p>
          <w:p w:rsidRPr="00D65A9B" w:rsidR="000A42EF" w:rsidP="00B67015" w:rsidRDefault="00B67015" w14:paraId="295074E1" w14:textId="683BF390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 w:rsidRPr="00B67015">
              <w:rPr>
                <w:rFonts w:ascii="Times New Roman" w:hAnsi="Times New Roman"/>
              </w:rPr>
              <w:t>- based on the obtained results, explain and interpret the observed surface phenomena by applying modern theory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surface phenomena and processes.</w:t>
            </w:r>
          </w:p>
        </w:tc>
      </w:tr>
      <w:tr w:rsidRPr="00D65A9B" w:rsidR="000A42EF" w:rsidTr="0B63A2FE" w14:paraId="4091D938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39765A" w:rsidR="000A42EF" w:rsidP="00406942" w:rsidRDefault="000A42EF" w14:paraId="43496422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39765A">
              <w:rPr>
                <w:rFonts w:ascii="Times New Roman" w:hAnsi="Times New Roman"/>
                <w:b/>
                <w:bCs/>
                <w:lang w:val="sr-Cyrl-CS"/>
              </w:rPr>
              <w:t>SYLLABUS</w:t>
            </w:r>
          </w:p>
          <w:p w:rsidR="000A42EF" w:rsidP="00406942" w:rsidRDefault="000A42EF" w14:paraId="71933840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Lectures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Pr="00D65A9B" w:rsidR="000A42EF" w:rsidP="00122272" w:rsidRDefault="00B67015" w14:paraId="5DD49CD7" w14:textId="320CAB0F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  <w:r w:rsidRPr="00B67015">
              <w:rPr>
                <w:rFonts w:ascii="Times New Roman" w:hAnsi="Times New Roman"/>
              </w:rPr>
              <w:t>Chemical and physical interactions between surfaces and particles. Surface tension of liquid. Determination methods. Laplace's equation. Vapor pressure of a spherical droplets. Kelvin's equation. Surface energy of crystals. Formation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new phases. Condensation. Crystallization. Growth and structure of solid surfaces. Speed of processes on surfaces.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Mechanism of heterogeneous catalysis. Catalytic activity on solid surfaces. Degree of adsorption. Speeds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surface processes. Multilayer adsorption. Nature of adsorbents and adsorbed phase. Application of adsorption. Gas solution adsorption isotherm. Thermodynamic conditions of gas adsorption on a solid substance. Adsorption at the solid/gas interface. Adsorption of gases on solid bodies. Thermodynamics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adsorption isotherms. Capillarity. Surface pressure and surface free energy. Young-Laplace equation.</w:t>
            </w:r>
            <w:r>
              <w:rPr>
                <w:rFonts w:ascii="Times New Roman" w:hAnsi="Times New Roman"/>
              </w:rPr>
              <w:t xml:space="preserve"> </w:t>
            </w:r>
            <w:r w:rsidRPr="00330805">
              <w:rPr>
                <w:rFonts w:ascii="Times New Roman" w:hAnsi="Times New Roman"/>
              </w:rPr>
              <w:t>Capillary growth method. Maximum bladder pressure. Methods based on the static bubble drop shape. Dynamic method of surface pressure measurement. Adsorption at the solid/liquid interface. Nature</w:t>
            </w:r>
            <w:r w:rsidRPr="00B67015">
              <w:rPr>
                <w:rFonts w:ascii="Times New Roman" w:hAnsi="Times New Roman"/>
              </w:rPr>
              <w:t xml:space="preserve"> and thermodynamics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liquid boundary surfaces. Single-component systems. Surface tension in solutions. Thermodynamics of binaries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system. Thermodynamics of surfaces. Surface pressure of the solution. Effects of pressure on surface tension. Kelvin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equation. Thermodynamic conditions of liquid surface pressure.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Thermodynamics on the boundary surface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solid/liquid. Polymer adsorption. Irreversible adsorption. Adsorption in binary liquid systems. Adsorption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 xml:space="preserve">on natural adsorbents (geosorbents). </w:t>
            </w:r>
            <w:r w:rsidRPr="00122272">
              <w:rPr>
                <w:rFonts w:ascii="Times New Roman" w:hAnsi="Times New Roman"/>
              </w:rPr>
              <w:t>Geosorption and the concept of retardation</w:t>
            </w:r>
            <w:r w:rsidRPr="00B67015">
              <w:rPr>
                <w:rFonts w:ascii="Times New Roman" w:hAnsi="Times New Roman"/>
              </w:rPr>
              <w:t>. Electrical aspects of chemistry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surface area. Electrolyte adsorption. Double electrical layer. Free energy of the double diffuse layer.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>Electrophoresis. Electroosmosis. Influence of ions on electrokinetic effects. Electrocapillary phenomena. Colloidal state.</w:t>
            </w:r>
            <w:r>
              <w:rPr>
                <w:rFonts w:ascii="Times New Roman" w:hAnsi="Times New Roman"/>
              </w:rPr>
              <w:t xml:space="preserve"> </w:t>
            </w:r>
            <w:r w:rsidRPr="00B67015">
              <w:rPr>
                <w:rFonts w:ascii="Times New Roman" w:hAnsi="Times New Roman"/>
              </w:rPr>
              <w:t xml:space="preserve">Surfaces and colloids. Thermodynamics of surfaces and between surfaces; </w:t>
            </w:r>
            <w:r w:rsidRPr="00122272">
              <w:rPr>
                <w:rFonts w:ascii="Times New Roman" w:hAnsi="Times New Roman"/>
              </w:rPr>
              <w:t>Phenomena at the phase boundary as a consequence of anisotropy of surface tension and surface curvature.</w:t>
            </w:r>
            <w:r w:rsidRPr="00B67015">
              <w:rPr>
                <w:rFonts w:ascii="Times New Roman" w:hAnsi="Times New Roman"/>
              </w:rPr>
              <w:t xml:space="preserve"> Phase transformations (nucleation).</w:t>
            </w:r>
          </w:p>
        </w:tc>
      </w:tr>
      <w:tr w:rsidRPr="00D65A9B" w:rsidR="000A42EF" w:rsidTr="0B63A2FE" w14:paraId="14CC5045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0A42EF" w:rsidP="00122272" w:rsidRDefault="000A42EF" w14:paraId="76BC580C" w14:textId="77777777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References</w:t>
            </w:r>
          </w:p>
          <w:p w:rsidRPr="00330805" w:rsidR="00330805" w:rsidP="00330805" w:rsidRDefault="00330805" w14:paraId="6D990868" w14:textId="77777777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330805">
              <w:rPr>
                <w:rFonts w:ascii="Times New Roman" w:hAnsi="Times New Roman"/>
              </w:rPr>
              <w:t>1. S. Đ. Đorđević, V. J. Dražić, Fizička hemija, Tehnološko-metalurški fakultet, Beograd, 1987.</w:t>
            </w:r>
          </w:p>
          <w:p w:rsidRPr="00122272" w:rsidR="00122272" w:rsidP="00330805" w:rsidRDefault="00330805" w14:paraId="00A82265" w14:textId="22E45E8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330805">
              <w:rPr>
                <w:rFonts w:ascii="Times New Roman" w:hAnsi="Times New Roman"/>
              </w:rPr>
              <w:t>2. Holclajtner-Antunović, I.D., Opšti kurs fizičke hemije, Zavod za udžbenike – Beograd, 2012</w:t>
            </w:r>
            <w:r w:rsidRPr="00122272" w:rsidR="00122272">
              <w:rPr>
                <w:rFonts w:ascii="Times New Roman" w:hAnsi="Times New Roman"/>
              </w:rPr>
              <w:t>.</w:t>
            </w:r>
          </w:p>
          <w:p w:rsidRPr="00122272" w:rsidR="00122272" w:rsidP="00122272" w:rsidRDefault="00122272" w14:paraId="4D3C2381" w14:textId="77777777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122272">
              <w:rPr>
                <w:rFonts w:ascii="Times New Roman" w:hAnsi="Times New Roman"/>
              </w:rPr>
              <w:t>3. G. M. Barrow, Physical chemistry 6th edition, The Mc Graw-Hill Companies, New York, USA, 1996.</w:t>
            </w:r>
          </w:p>
          <w:p w:rsidRPr="00122272" w:rsidR="00122272" w:rsidP="00122272" w:rsidRDefault="00122272" w14:paraId="172AE927" w14:textId="77777777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122272">
              <w:rPr>
                <w:rFonts w:ascii="Times New Roman" w:hAnsi="Times New Roman"/>
              </w:rPr>
              <w:t>4. G. Woodbury, Physical Chemistry, Brooks/Cole Publishing Company, USA, 1997.</w:t>
            </w:r>
          </w:p>
          <w:p w:rsidRPr="00330805" w:rsidR="00122272" w:rsidP="00330805" w:rsidRDefault="00122272" w14:paraId="643F4193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122272">
              <w:rPr>
                <w:rFonts w:ascii="Times New Roman" w:hAnsi="Times New Roman"/>
              </w:rPr>
              <w:lastRenderedPageBreak/>
              <w:t>5. Atkins Peter, Julio De Paula, Physical chemistry,9th edition, Oxford University Press, New York, 2010.</w:t>
            </w:r>
          </w:p>
          <w:p w:rsidRPr="00330805" w:rsidR="00330805" w:rsidP="00330805" w:rsidRDefault="00330805" w14:paraId="717929D4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30805">
              <w:rPr>
                <w:rFonts w:ascii="Times New Roman" w:hAnsi="Times New Roman"/>
              </w:rPr>
              <w:t>6. Stevanović, M., Heterogena ravnoteža, Zavod za udžbenike, Beograd, 1998.</w:t>
            </w:r>
          </w:p>
          <w:p w:rsidRPr="00D65A9B" w:rsidR="00122272" w:rsidP="00330805" w:rsidRDefault="00330805" w14:paraId="6C9E6D19" w14:textId="5046911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30805">
              <w:rPr>
                <w:rFonts w:ascii="Times New Roman" w:hAnsi="Times New Roman"/>
              </w:rPr>
              <w:t>7. Đaković, Lj., Koloidna hemija, Zavod za udžbenike i nastavna sredstva, Beograd, 2006.</w:t>
            </w:r>
          </w:p>
        </w:tc>
      </w:tr>
      <w:tr w:rsidRPr="00D65A9B" w:rsidR="000A42EF" w:rsidTr="0B63A2FE" w14:paraId="13197C8F" w14:textId="77777777">
        <w:trPr>
          <w:trHeight w:val="227"/>
          <w:jc w:val="center"/>
        </w:trPr>
        <w:tc>
          <w:tcPr>
            <w:tcW w:w="3052" w:type="dxa"/>
            <w:tcMar/>
            <w:vAlign w:val="center"/>
          </w:tcPr>
          <w:p w:rsidRPr="00D65A9B" w:rsidR="000A42EF" w:rsidP="00406942" w:rsidRDefault="000A42EF" w14:paraId="7D30280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lastRenderedPageBreak/>
              <w:t>Active teaching classes</w:t>
            </w:r>
          </w:p>
        </w:tc>
        <w:tc>
          <w:tcPr>
            <w:tcW w:w="3074" w:type="dxa"/>
            <w:gridSpan w:val="2"/>
            <w:tcMar/>
            <w:vAlign w:val="center"/>
          </w:tcPr>
          <w:p w:rsidRPr="00D65A9B" w:rsidR="000A42EF" w:rsidP="00406942" w:rsidRDefault="000A42EF" w14:paraId="3B7C80E4" w14:textId="3B87A6F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RS"/>
              </w:rPr>
            </w:pPr>
            <w:r w:rsidRPr="00D65A9B">
              <w:rPr>
                <w:rFonts w:ascii="Times New Roman" w:hAnsi="Times New Roman"/>
                <w:b/>
              </w:rPr>
              <w:t>Lectures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="0012227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224" w:type="dxa"/>
            <w:gridSpan w:val="2"/>
            <w:tcMar/>
            <w:vAlign w:val="center"/>
          </w:tcPr>
          <w:p w:rsidRPr="00D65A9B" w:rsidR="000A42EF" w:rsidP="00406942" w:rsidRDefault="000A42EF" w14:paraId="3269777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</w:rPr>
            </w:pPr>
            <w:r w:rsidRPr="00D65A9B">
              <w:rPr>
                <w:rFonts w:ascii="Times New Roman" w:hAnsi="Times New Roman"/>
                <w:b/>
              </w:rPr>
              <w:t>Laboratory work</w:t>
            </w:r>
            <w:r>
              <w:rPr>
                <w:rFonts w:ascii="Times New Roman" w:hAnsi="Times New Roman"/>
                <w:b/>
              </w:rPr>
              <w:t xml:space="preserve"> 15</w:t>
            </w:r>
          </w:p>
        </w:tc>
      </w:tr>
      <w:tr w:rsidRPr="00D65A9B" w:rsidR="000A42EF" w:rsidTr="0B63A2FE" w14:paraId="5A5C4740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D65A9B" w:rsidR="000A42EF" w:rsidP="00406942" w:rsidRDefault="000A42EF" w14:paraId="53CC2961" w14:textId="4D23EB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Teaching mode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Pr="00122272" w:rsidR="00122272">
              <w:rPr>
                <w:rFonts w:ascii="Times New Roman" w:hAnsi="Times New Roman"/>
              </w:rPr>
              <w:t>Lectures, colloquiums, seminars, consultations</w:t>
            </w:r>
          </w:p>
        </w:tc>
      </w:tr>
      <w:tr w:rsidRPr="00D65A9B" w:rsidR="000A42EF" w:rsidTr="0B63A2FE" w14:paraId="57655BC7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D65A9B" w:rsidR="000A42EF" w:rsidP="00406942" w:rsidRDefault="000A42EF" w14:paraId="21265A5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ASSESSMENT METHODS AND CRITERIA</w:t>
            </w:r>
            <w:r w:rsidRPr="00D65A9B">
              <w:rPr>
                <w:rFonts w:ascii="Times New Roman" w:hAnsi="Times New Roman"/>
                <w:b/>
                <w:bCs/>
              </w:rPr>
              <w:t xml:space="preserve"> (Max 100 points)</w:t>
            </w:r>
          </w:p>
        </w:tc>
      </w:tr>
      <w:tr w:rsidRPr="00D65A9B" w:rsidR="000A42EF" w:rsidTr="0B63A2FE" w14:paraId="4213D4E4" w14:textId="77777777">
        <w:trPr>
          <w:trHeight w:val="227"/>
          <w:jc w:val="center"/>
        </w:trPr>
        <w:tc>
          <w:tcPr>
            <w:tcW w:w="3052" w:type="dxa"/>
            <w:tcMar/>
            <w:vAlign w:val="center"/>
          </w:tcPr>
          <w:p w:rsidRPr="00D65A9B" w:rsidR="000A42EF" w:rsidP="00406942" w:rsidRDefault="000A42EF" w14:paraId="667ED1C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Pre exam duties</w:t>
            </w:r>
          </w:p>
        </w:tc>
        <w:tc>
          <w:tcPr>
            <w:tcW w:w="1928" w:type="dxa"/>
            <w:tcMar/>
            <w:vAlign w:val="center"/>
          </w:tcPr>
          <w:p w:rsidRPr="00D65A9B" w:rsidR="000A42EF" w:rsidP="00406942" w:rsidRDefault="000A42EF" w14:paraId="2A41F1F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Points</w:t>
            </w:r>
          </w:p>
        </w:tc>
        <w:tc>
          <w:tcPr>
            <w:tcW w:w="3137" w:type="dxa"/>
            <w:gridSpan w:val="2"/>
            <w:shd w:val="clear" w:color="auto" w:fill="auto"/>
            <w:tcMar/>
            <w:vAlign w:val="center"/>
          </w:tcPr>
          <w:p w:rsidRPr="00D65A9B" w:rsidR="000A42EF" w:rsidP="00406942" w:rsidRDefault="000A42EF" w14:paraId="3EEC7F8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  <w:iCs/>
              </w:rPr>
              <w:t>Final exam</w:t>
            </w:r>
            <w:r w:rsidRPr="00D65A9B">
              <w:rPr>
                <w:rFonts w:ascii="Times New Roman" w:hAnsi="Times New Roman"/>
                <w:b/>
                <w:iCs/>
                <w:lang w:val="sr-Cyrl-CS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tcMar/>
            <w:vAlign w:val="center"/>
          </w:tcPr>
          <w:p w:rsidRPr="00D65A9B" w:rsidR="000A42EF" w:rsidP="00406942" w:rsidRDefault="000A42EF" w14:paraId="11E6108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Points</w:t>
            </w:r>
          </w:p>
        </w:tc>
      </w:tr>
      <w:tr w:rsidRPr="00D65A9B" w:rsidR="000A42EF" w:rsidTr="0B63A2FE" w14:paraId="3C5D1BED" w14:textId="77777777">
        <w:trPr>
          <w:trHeight w:val="227"/>
          <w:jc w:val="center"/>
        </w:trPr>
        <w:tc>
          <w:tcPr>
            <w:tcW w:w="3052" w:type="dxa"/>
            <w:tcMar/>
            <w:vAlign w:val="center"/>
          </w:tcPr>
          <w:p w:rsidRPr="00D65A9B" w:rsidR="000A42EF" w:rsidP="00406942" w:rsidRDefault="000A42EF" w14:paraId="0DDB193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Activity during lectures</w:t>
            </w:r>
          </w:p>
        </w:tc>
        <w:tc>
          <w:tcPr>
            <w:tcW w:w="1928" w:type="dxa"/>
            <w:tcMar/>
            <w:vAlign w:val="center"/>
          </w:tcPr>
          <w:p w:rsidRPr="00A12A5E" w:rsidR="000A42EF" w:rsidP="00406942" w:rsidRDefault="000A42EF" w14:paraId="29639D3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37" w:type="dxa"/>
            <w:gridSpan w:val="2"/>
            <w:shd w:val="clear" w:color="auto" w:fill="auto"/>
            <w:tcMar/>
            <w:vAlign w:val="center"/>
          </w:tcPr>
          <w:p w:rsidRPr="00D65A9B" w:rsidR="000A42EF" w:rsidP="00406942" w:rsidRDefault="000A42EF" w14:paraId="6D9303F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Written examination</w:t>
            </w:r>
          </w:p>
        </w:tc>
        <w:tc>
          <w:tcPr>
            <w:tcW w:w="1233" w:type="dxa"/>
            <w:shd w:val="clear" w:color="auto" w:fill="auto"/>
            <w:tcMar/>
            <w:vAlign w:val="center"/>
          </w:tcPr>
          <w:p w:rsidRPr="00A12A5E" w:rsidR="000A42EF" w:rsidP="00406942" w:rsidRDefault="000A42EF" w14:paraId="3C0C3BC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Pr="00D65A9B" w:rsidR="000A42EF" w:rsidTr="0B63A2FE" w14:paraId="2EFB9FE3" w14:textId="77777777">
        <w:trPr>
          <w:trHeight w:val="227"/>
          <w:jc w:val="center"/>
        </w:trPr>
        <w:tc>
          <w:tcPr>
            <w:tcW w:w="3052" w:type="dxa"/>
            <w:tcMar/>
            <w:vAlign w:val="center"/>
          </w:tcPr>
          <w:p w:rsidRPr="00D65A9B" w:rsidR="000A42EF" w:rsidP="00406942" w:rsidRDefault="000A42EF" w14:paraId="5B05318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Practical teaching</w:t>
            </w:r>
          </w:p>
        </w:tc>
        <w:tc>
          <w:tcPr>
            <w:tcW w:w="1928" w:type="dxa"/>
            <w:tcMar/>
            <w:vAlign w:val="center"/>
          </w:tcPr>
          <w:p w:rsidRPr="00A12A5E" w:rsidR="000A42EF" w:rsidP="00406942" w:rsidRDefault="00122272" w14:paraId="71491CF8" w14:textId="3F3BB66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37" w:type="dxa"/>
            <w:gridSpan w:val="2"/>
            <w:shd w:val="clear" w:color="auto" w:fill="auto"/>
            <w:tcMar/>
            <w:vAlign w:val="center"/>
          </w:tcPr>
          <w:p w:rsidRPr="00D65A9B" w:rsidR="000A42EF" w:rsidP="00406942" w:rsidRDefault="000A42EF" w14:paraId="1CE940A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</w:rPr>
            </w:pPr>
            <w:r w:rsidRPr="00D65A9B">
              <w:rPr>
                <w:rFonts w:ascii="Times New Roman" w:hAnsi="Times New Roman"/>
                <w:lang w:val="sr-Cyrl-CS"/>
              </w:rPr>
              <w:t>Oral examination</w:t>
            </w:r>
          </w:p>
        </w:tc>
        <w:tc>
          <w:tcPr>
            <w:tcW w:w="1233" w:type="dxa"/>
            <w:shd w:val="clear" w:color="auto" w:fill="auto"/>
            <w:tcMar/>
            <w:vAlign w:val="center"/>
          </w:tcPr>
          <w:p w:rsidRPr="00EF4E5B" w:rsidR="000A42EF" w:rsidP="00406942" w:rsidRDefault="000A42EF" w14:paraId="3B61B8C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30</w:t>
            </w:r>
          </w:p>
        </w:tc>
      </w:tr>
      <w:tr w:rsidRPr="00D65A9B" w:rsidR="000A42EF" w:rsidTr="0B63A2FE" w14:paraId="462CFF2C" w14:textId="77777777">
        <w:trPr>
          <w:trHeight w:val="227"/>
          <w:jc w:val="center"/>
        </w:trPr>
        <w:tc>
          <w:tcPr>
            <w:tcW w:w="3052" w:type="dxa"/>
            <w:tcMar/>
            <w:vAlign w:val="center"/>
          </w:tcPr>
          <w:p w:rsidRPr="00A12A5E" w:rsidR="000A42EF" w:rsidP="00406942" w:rsidRDefault="000A42EF" w14:paraId="063194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C</w:t>
            </w:r>
            <w:r w:rsidRPr="00EF4E5B">
              <w:rPr>
                <w:rFonts w:ascii="Times New Roman" w:hAnsi="Times New Roman"/>
              </w:rPr>
              <w:t>olloquium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928" w:type="dxa"/>
            <w:tcMar/>
            <w:vAlign w:val="center"/>
          </w:tcPr>
          <w:p w:rsidRPr="00EF4E5B" w:rsidR="000A42EF" w:rsidP="00406942" w:rsidRDefault="00122272" w14:paraId="3711D583" w14:textId="111BBB8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4</w:t>
            </w:r>
            <w:r w:rsidR="000A42EF">
              <w:rPr>
                <w:rFonts w:ascii="Times New Roman" w:hAnsi="Times New Roman"/>
                <w:lang w:val="sr-Latn-RS"/>
              </w:rPr>
              <w:t>0</w:t>
            </w:r>
          </w:p>
        </w:tc>
        <w:tc>
          <w:tcPr>
            <w:tcW w:w="3137" w:type="dxa"/>
            <w:gridSpan w:val="2"/>
            <w:shd w:val="clear" w:color="auto" w:fill="auto"/>
            <w:tcMar/>
            <w:vAlign w:val="center"/>
          </w:tcPr>
          <w:p w:rsidRPr="00A12A5E" w:rsidR="000A42EF" w:rsidP="00406942" w:rsidRDefault="000A42EF" w14:paraId="4238D02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233" w:type="dxa"/>
            <w:shd w:val="clear" w:color="auto" w:fill="auto"/>
            <w:tcMar/>
            <w:vAlign w:val="center"/>
          </w:tcPr>
          <w:p w:rsidRPr="00A12A5E" w:rsidR="000A42EF" w:rsidP="00406942" w:rsidRDefault="000A42EF" w14:paraId="1895CED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</w:tr>
      <w:tr w:rsidRPr="00D65A9B" w:rsidR="00122272" w:rsidTr="0B63A2FE" w14:paraId="5E3F59F7" w14:textId="77777777">
        <w:trPr>
          <w:trHeight w:val="227"/>
          <w:jc w:val="center"/>
        </w:trPr>
        <w:tc>
          <w:tcPr>
            <w:tcW w:w="3052" w:type="dxa"/>
            <w:tcMar/>
            <w:vAlign w:val="center"/>
          </w:tcPr>
          <w:p w:rsidR="00122272" w:rsidP="00406942" w:rsidRDefault="00122272" w14:paraId="3E46909C" w14:textId="2F4BFEEC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Seminars</w:t>
            </w:r>
          </w:p>
        </w:tc>
        <w:tc>
          <w:tcPr>
            <w:tcW w:w="1928" w:type="dxa"/>
            <w:tcMar/>
            <w:vAlign w:val="center"/>
          </w:tcPr>
          <w:p w:rsidR="00122272" w:rsidP="00406942" w:rsidRDefault="00122272" w14:paraId="34268544" w14:textId="117F7BC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5</w:t>
            </w:r>
          </w:p>
        </w:tc>
        <w:tc>
          <w:tcPr>
            <w:tcW w:w="3137" w:type="dxa"/>
            <w:gridSpan w:val="2"/>
            <w:shd w:val="clear" w:color="auto" w:fill="auto"/>
            <w:tcMar/>
            <w:vAlign w:val="center"/>
          </w:tcPr>
          <w:p w:rsidRPr="00A12A5E" w:rsidR="00122272" w:rsidP="00406942" w:rsidRDefault="00122272" w14:paraId="44D35E5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233" w:type="dxa"/>
            <w:shd w:val="clear" w:color="auto" w:fill="auto"/>
            <w:tcMar/>
            <w:vAlign w:val="center"/>
          </w:tcPr>
          <w:p w:rsidRPr="00A12A5E" w:rsidR="00122272" w:rsidP="00406942" w:rsidRDefault="00122272" w14:paraId="7BD6106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</w:tr>
    </w:tbl>
    <w:p w:rsidR="00BF37C1" w:rsidRDefault="00000000" w14:paraId="5B51A3D1" w14:textId="77777777"/>
    <w:sectPr w:rsidR="00BF37C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EF"/>
    <w:rsid w:val="000A42EF"/>
    <w:rsid w:val="00122272"/>
    <w:rsid w:val="001D22F9"/>
    <w:rsid w:val="00330805"/>
    <w:rsid w:val="00B67015"/>
    <w:rsid w:val="00E921DE"/>
    <w:rsid w:val="0B63A2FE"/>
    <w:rsid w:val="50BAC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6063"/>
  <w15:chartTrackingRefBased/>
  <w15:docId w15:val="{40807986-6F7A-478F-A4F3-220CE823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42EF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A42EF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0A42EF"/>
  </w:style>
  <w:style w:type="character" w:styleId="eop" w:customStyle="1">
    <w:name w:val="eop"/>
    <w:basedOn w:val="DefaultParagraphFont"/>
    <w:rsid w:val="000A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10180-384D-4F09-8D3C-73B387F89524}"/>
</file>

<file path=customXml/itemProps2.xml><?xml version="1.0" encoding="utf-8"?>
<ds:datastoreItem xmlns:ds="http://schemas.openxmlformats.org/officeDocument/2006/customXml" ds:itemID="{6B459F1D-CD29-4492-8362-54BDABE9E191}"/>
</file>

<file path=customXml/itemProps3.xml><?xml version="1.0" encoding="utf-8"?>
<ds:datastoreItem xmlns:ds="http://schemas.openxmlformats.org/officeDocument/2006/customXml" ds:itemID="{E57CC805-9A8D-4DEC-A1A0-6E117A643F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Violeta Mitić</dc:creator>
  <keywords/>
  <dc:description/>
  <lastModifiedBy>Emilija Pecev</lastModifiedBy>
  <revision>3</revision>
  <dcterms:created xsi:type="dcterms:W3CDTF">2022-12-23T18:53:00.0000000Z</dcterms:created>
  <dcterms:modified xsi:type="dcterms:W3CDTF">2023-01-10T12:56:08.4427901Z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