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2214" w:rsidR="00CC3F76" w:rsidP="00375D47" w:rsidRDefault="00CC3F76" w14:paraId="1A940E03" w14:textId="2398FE36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Pr="00092214" w:rsidR="00CC3F76" w:rsidTr="496C2EC4" w14:paraId="01A0D2A9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F04FF4" w:rsidR="00CC3F76" w:rsidP="000A550D" w:rsidRDefault="00CE7231" w14:paraId="3CEA3FDD" w14:textId="2F54E1D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F04F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B75691" w:rsidR="00F04FF4">
              <w:rPr>
                <w:rFonts w:ascii="Times New Roman" w:hAnsi="Times New Roman"/>
                <w:sz w:val="20"/>
                <w:szCs w:val="20"/>
              </w:rPr>
              <w:t>Applied chemistry with the management basics</w:t>
            </w:r>
          </w:p>
        </w:tc>
      </w:tr>
      <w:tr w:rsidRPr="00092214" w:rsidR="00CC3F76" w:rsidTr="496C2EC4" w14:paraId="4EB27B5B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CE7231" w:rsidR="00CC3F76" w:rsidP="00E9057F" w:rsidRDefault="00CE7231" w14:paraId="11BE5AEA" w14:textId="06C803B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F04FF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51722" w:rsidR="00F04FF4">
              <w:rPr>
                <w:rFonts w:ascii="Times New Roman" w:hAnsi="Times New Roman"/>
                <w:sz w:val="20"/>
                <w:szCs w:val="20"/>
              </w:rPr>
              <w:t>Quality management in laboratory (H258C)</w:t>
            </w:r>
          </w:p>
        </w:tc>
      </w:tr>
      <w:tr w:rsidRPr="00092214" w:rsidR="00CC3F76" w:rsidTr="496C2EC4" w14:paraId="358B3F50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F04FF4" w:rsidR="00CC3F76" w:rsidP="000A550D" w:rsidRDefault="00CE7231" w14:paraId="303327D1" w14:textId="797282D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F04FF4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F04FF4" w:rsidR="00F04FF4">
              <w:rPr>
                <w:rFonts w:ascii="Times New Roman" w:hAnsi="Times New Roman"/>
                <w:sz w:val="20"/>
                <w:szCs w:val="20"/>
                <w:lang w:val="sr-Latn-RS"/>
              </w:rPr>
              <w:t>Ivana D. Rašić Mišić</w:t>
            </w:r>
          </w:p>
        </w:tc>
      </w:tr>
      <w:tr w:rsidRPr="00092214" w:rsidR="00CC3F76" w:rsidTr="496C2EC4" w14:paraId="7B6EE8FC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F04FF4" w:rsidR="00CC3F76" w:rsidP="000A550D" w:rsidRDefault="00CE7231" w14:paraId="3A08B75B" w14:textId="5AF8456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F04FF4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F04FF4" w:rsidR="00F04FF4">
              <w:rPr>
                <w:rFonts w:ascii="Times New Roman" w:hAnsi="Times New Roman"/>
                <w:sz w:val="20"/>
                <w:szCs w:val="20"/>
                <w:lang w:val="sr-Latn-RS"/>
              </w:rPr>
              <w:t>obligatory</w:t>
            </w:r>
          </w:p>
        </w:tc>
      </w:tr>
      <w:tr w:rsidRPr="00092214" w:rsidR="00CC3F76" w:rsidTr="496C2EC4" w14:paraId="66D7AE4A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F04FF4" w:rsidR="00CC3F76" w:rsidP="000A550D" w:rsidRDefault="00CE7231" w14:paraId="68ECFDF6" w14:textId="6D9646E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F04FF4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Pr="00F04FF4" w:rsidR="00F04FF4">
              <w:rPr>
                <w:rFonts w:ascii="Times New Roman" w:hAnsi="Times New Roman"/>
                <w:sz w:val="20"/>
                <w:szCs w:val="20"/>
                <w:lang w:val="sr-Latn-RS"/>
              </w:rPr>
              <w:t>4</w:t>
            </w:r>
          </w:p>
        </w:tc>
      </w:tr>
      <w:tr w:rsidRPr="00092214" w:rsidR="00CC3F76" w:rsidTr="496C2EC4" w14:paraId="5F07BE5F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C3F76" w:rsidP="000A550D" w:rsidRDefault="00CE7231" w14:paraId="1D66A80C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Pr="00CE7231" w:rsidR="00F04FF4" w:rsidP="00F04FF4" w:rsidRDefault="00F04FF4" w14:paraId="4F147635" w14:textId="666638A4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4FF4">
              <w:rPr>
                <w:rFonts w:ascii="Times New Roman" w:hAnsi="Times New Roman"/>
                <w:sz w:val="20"/>
                <w:szCs w:val="20"/>
              </w:rPr>
              <w:t>Acquiring basic knowledge in the field of quality control, developing the ability to introduce and monitor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4FF4">
              <w:rPr>
                <w:rFonts w:ascii="Times New Roman" w:hAnsi="Times New Roman"/>
                <w:sz w:val="20"/>
                <w:szCs w:val="20"/>
              </w:rPr>
              <w:t xml:space="preserve">quality </w:t>
            </w:r>
            <w:r w:rsidRPr="00F04FF4">
              <w:rPr>
                <w:rFonts w:ascii="Times New Roman" w:hAnsi="Times New Roman"/>
                <w:sz w:val="20"/>
                <w:szCs w:val="20"/>
              </w:rPr>
              <w:t>systems</w:t>
            </w:r>
            <w:r w:rsidRPr="00F04FF4">
              <w:rPr>
                <w:rFonts w:ascii="Times New Roman" w:hAnsi="Times New Roman"/>
                <w:sz w:val="20"/>
                <w:szCs w:val="20"/>
              </w:rPr>
              <w:t xml:space="preserve"> in a chemical laboratory, as well as </w:t>
            </w:r>
            <w:r w:rsidRPr="00F04FF4">
              <w:rPr>
                <w:rFonts w:ascii="Times New Roman" w:hAnsi="Times New Roman"/>
                <w:sz w:val="20"/>
                <w:szCs w:val="20"/>
              </w:rPr>
              <w:t xml:space="preserve">to acquire </w:t>
            </w:r>
            <w:r w:rsidRPr="00F04FF4">
              <w:rPr>
                <w:rFonts w:ascii="Times New Roman" w:hAnsi="Times New Roman"/>
                <w:sz w:val="20"/>
                <w:szCs w:val="20"/>
              </w:rPr>
              <w:t>knowledge of methodology validation and laborator</w:t>
            </w:r>
            <w:r w:rsidRPr="00F04FF4">
              <w:rPr>
                <w:rFonts w:ascii="Times New Roman" w:hAnsi="Times New Roman"/>
                <w:sz w:val="20"/>
                <w:szCs w:val="20"/>
              </w:rPr>
              <w:t xml:space="preserve">y </w:t>
            </w:r>
            <w:r w:rsidRPr="00F04FF4">
              <w:rPr>
                <w:rFonts w:ascii="Times New Roman" w:hAnsi="Times New Roman"/>
                <w:sz w:val="20"/>
                <w:szCs w:val="20"/>
              </w:rPr>
              <w:t>accreditation</w:t>
            </w:r>
            <w:r w:rsidRPr="00F04FF4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04FF4">
              <w:rPr>
                <w:rFonts w:ascii="Times New Roman" w:hAnsi="Times New Roman"/>
                <w:sz w:val="20"/>
                <w:szCs w:val="20"/>
              </w:rPr>
              <w:t>Understanding the importance of quality assurance and control in the laboratory</w:t>
            </w:r>
            <w:r w:rsidRPr="00F04FF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092214" w:rsidR="00CC3F76" w:rsidTr="496C2EC4" w14:paraId="54DF42A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C3F76" w:rsidP="005452A0" w:rsidRDefault="00CE7231" w14:paraId="2BCB080D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Pr="007349DC" w:rsidR="007349DC" w:rsidP="007349DC" w:rsidRDefault="007349DC" w14:paraId="595605DD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9DC">
              <w:rPr>
                <w:rFonts w:ascii="Times New Roman" w:hAnsi="Times New Roman"/>
                <w:sz w:val="20"/>
                <w:szCs w:val="20"/>
              </w:rPr>
              <w:t>Upon successful completion of this course, the student will be able to:</w:t>
            </w:r>
          </w:p>
          <w:p w:rsidRPr="007349DC" w:rsidR="007349DC" w:rsidP="007349DC" w:rsidRDefault="007349DC" w14:paraId="2E8AA567" w14:textId="3CDB9D41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9DC">
              <w:rPr>
                <w:rFonts w:ascii="Times New Roman" w:hAnsi="Times New Roman"/>
                <w:sz w:val="20"/>
                <w:szCs w:val="20"/>
              </w:rPr>
              <w:t>define and explain the scientific principles on which quality control is based in industrial,</w:t>
            </w:r>
            <w:r w:rsidRPr="00734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349DC">
              <w:rPr>
                <w:rFonts w:ascii="Times New Roman" w:hAnsi="Times New Roman"/>
                <w:sz w:val="20"/>
                <w:szCs w:val="20"/>
              </w:rPr>
              <w:t xml:space="preserve">health and research </w:t>
            </w:r>
            <w:proofErr w:type="gramStart"/>
            <w:r w:rsidRPr="007349DC">
              <w:rPr>
                <w:rFonts w:ascii="Times New Roman" w:hAnsi="Times New Roman"/>
                <w:sz w:val="20"/>
                <w:szCs w:val="20"/>
              </w:rPr>
              <w:t>laboratories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Pr="007349DC" w:rsidR="007349DC" w:rsidP="007349DC" w:rsidRDefault="007349DC" w14:paraId="17F829A0" w14:textId="502CA433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9DC">
              <w:rPr>
                <w:rFonts w:ascii="Times New Roman" w:hAnsi="Times New Roman"/>
                <w:sz w:val="20"/>
                <w:szCs w:val="20"/>
              </w:rPr>
              <w:t xml:space="preserve">analyze the obtained measurement </w:t>
            </w:r>
            <w:proofErr w:type="gramStart"/>
            <w:r w:rsidRPr="007349DC">
              <w:rPr>
                <w:rFonts w:ascii="Times New Roman" w:hAnsi="Times New Roman"/>
                <w:sz w:val="20"/>
                <w:szCs w:val="20"/>
              </w:rPr>
              <w:t>results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Pr="007349DC" w:rsidR="007349DC" w:rsidP="007349DC" w:rsidRDefault="007349DC" w14:paraId="2661A45C" w14:textId="5BA40D58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9DC">
              <w:rPr>
                <w:rFonts w:ascii="Times New Roman" w:hAnsi="Times New Roman"/>
                <w:sz w:val="20"/>
                <w:szCs w:val="20"/>
              </w:rPr>
              <w:t xml:space="preserve">do their statistical processing and use them for quality </w:t>
            </w:r>
            <w:proofErr w:type="gramStart"/>
            <w:r w:rsidRPr="007349DC">
              <w:rPr>
                <w:rFonts w:ascii="Times New Roman" w:hAnsi="Times New Roman"/>
                <w:sz w:val="20"/>
                <w:szCs w:val="20"/>
              </w:rPr>
              <w:t>assessment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Pr="007349DC" w:rsidR="007349DC" w:rsidP="007349DC" w:rsidRDefault="007349DC" w14:paraId="0AEB30F8" w14:textId="18EAA802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49DC">
              <w:rPr>
                <w:rFonts w:ascii="Times New Roman" w:hAnsi="Times New Roman"/>
                <w:sz w:val="20"/>
                <w:szCs w:val="20"/>
              </w:rPr>
              <w:t xml:space="preserve">explain the purpose of meeting the required standards and harmonizing the need and </w:t>
            </w:r>
            <w:proofErr w:type="gramStart"/>
            <w:r w:rsidRPr="007349DC">
              <w:rPr>
                <w:rFonts w:ascii="Times New Roman" w:hAnsi="Times New Roman"/>
                <w:sz w:val="20"/>
                <w:szCs w:val="20"/>
              </w:rPr>
              <w:t>demand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  <w:proofErr w:type="gramEnd"/>
          </w:p>
          <w:p w:rsidRPr="007349DC" w:rsidR="007349DC" w:rsidP="007349DC" w:rsidRDefault="007349DC" w14:paraId="6B31A8A9" w14:textId="22A8B979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496C2EC4" w:rsidR="007349DC">
              <w:rPr>
                <w:rFonts w:ascii="Times New Roman" w:hAnsi="Times New Roman"/>
                <w:sz w:val="20"/>
                <w:szCs w:val="20"/>
              </w:rPr>
              <w:t xml:space="preserve">apply and implement quality control of the analytical system </w:t>
            </w:r>
            <w:r w:rsidRPr="496C2EC4" w:rsidR="007349DC"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starting 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>from sampling, method introduction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 xml:space="preserve"> up to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 xml:space="preserve"> validation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496C2EC4" w:rsidR="040F89AD">
              <w:rPr>
                <w:rFonts w:ascii="Times New Roman" w:hAnsi="Times New Roman"/>
                <w:sz w:val="20"/>
                <w:szCs w:val="20"/>
              </w:rPr>
              <w:t xml:space="preserve">of 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 xml:space="preserve">new 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>method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Pr="007349DC" w:rsidR="00F04FF4" w:rsidP="007349DC" w:rsidRDefault="007349DC" w14:paraId="11B481AB" w14:textId="4E027187">
            <w:pPr>
              <w:pStyle w:val="ListParagraph"/>
              <w:numPr>
                <w:ilvl w:val="0"/>
                <w:numId w:val="2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349DC">
              <w:rPr>
                <w:rFonts w:ascii="Times New Roman" w:hAnsi="Times New Roman"/>
                <w:sz w:val="20"/>
                <w:szCs w:val="20"/>
              </w:rPr>
              <w:t>defines basic laboratory accreditation procedures.</w:t>
            </w:r>
          </w:p>
        </w:tc>
      </w:tr>
      <w:tr w:rsidRPr="00092214" w:rsidR="00CC3F76" w:rsidTr="496C2EC4" w14:paraId="76444845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E7231" w:rsidP="00BF752B" w:rsidRDefault="00CE7231" w14:paraId="423F50C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="009C220E" w:rsidP="00BF752B" w:rsidRDefault="00CE7231" w14:paraId="41C06159" w14:textId="16353FB2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Pr="007349DC" w:rsidR="007349DC" w:rsidP="496C2EC4" w:rsidRDefault="007349DC" w14:paraId="13D94431" w14:textId="1F729FC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496C2EC4" w:rsidR="007349DC">
              <w:rPr>
                <w:rFonts w:ascii="Times New Roman" w:hAnsi="Times New Roman"/>
                <w:sz w:val="20"/>
                <w:szCs w:val="20"/>
              </w:rPr>
              <w:t xml:space="preserve">Systematic approach to chemical analysis. Analytical system. Analytical signal. Analytical result 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>analytical information. Analytical system errors. Statistical processing and evaluation of experimental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>results. Quality system. Quality management. Quality assurance in the analytical laboratory.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 xml:space="preserve">Principles of quality assurance of measurement data. Quality control. Validation. Sample validation 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>sampling. Method validation. Data validation. Quality assessment. Internal and external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>quality control. Control charts (Sh</w:t>
            </w:r>
            <w:r w:rsidRPr="496C2EC4" w:rsidR="00476D37">
              <w:rPr>
                <w:rFonts w:ascii="Times New Roman" w:hAnsi="Times New Roman"/>
                <w:sz w:val="20"/>
                <w:szCs w:val="20"/>
              </w:rPr>
              <w:t>ewh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>art chart). Reference materials. Accreditation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>of the laboratory. Sample and sampling. Sampling quality assurance. Sample size.</w:t>
            </w:r>
            <w:r w:rsidRPr="496C2EC4" w:rsidR="0047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 xml:space="preserve">Calibration procedures. Interferences. Calibration diagrams. The standard addition method. 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>The internal standard m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>ethod. Characteristics of analytical methods and criteria for choosing the appropriate method.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>Development and validation of analytical methods. Selectivity and specificity of the method. Sensitivity, limit</w:t>
            </w:r>
            <w:r w:rsidRPr="496C2EC4" w:rsidR="00476D37">
              <w:rPr>
                <w:rFonts w:ascii="Times New Roman" w:hAnsi="Times New Roman"/>
                <w:sz w:val="20"/>
                <w:szCs w:val="20"/>
              </w:rPr>
              <w:t xml:space="preserve"> of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 xml:space="preserve">detection and </w:t>
            </w:r>
            <w:r w:rsidRPr="496C2EC4" w:rsidR="00476D37">
              <w:rPr>
                <w:rFonts w:ascii="Times New Roman" w:hAnsi="Times New Roman"/>
                <w:sz w:val="20"/>
                <w:szCs w:val="20"/>
              </w:rPr>
              <w:t>limit of quantification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496C2EC4" w:rsidR="007349DC">
              <w:rPr>
                <w:rFonts w:ascii="Times New Roman" w:hAnsi="Times New Roman"/>
                <w:sz w:val="20"/>
                <w:szCs w:val="20"/>
              </w:rPr>
              <w:t>Work</w:t>
            </w:r>
            <w:r w:rsidRPr="496C2EC4" w:rsidR="00476D37">
              <w:rPr>
                <w:rFonts w:ascii="Times New Roman" w:hAnsi="Times New Roman"/>
                <w:sz w:val="20"/>
                <w:szCs w:val="20"/>
              </w:rPr>
              <w:t>ing</w:t>
            </w:r>
            <w:proofErr w:type="gramEnd"/>
            <w:r w:rsidRPr="496C2EC4" w:rsidR="00476D37">
              <w:rPr>
                <w:rFonts w:ascii="Times New Roman" w:hAnsi="Times New Roman"/>
                <w:sz w:val="20"/>
                <w:szCs w:val="20"/>
              </w:rPr>
              <w:t xml:space="preserve"> range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>. Accuracy and precision of determination. Repeatability</w:t>
            </w:r>
            <w:r w:rsidRPr="496C2EC4" w:rsidR="41490619"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496C2EC4" w:rsidR="007349DC">
              <w:rPr>
                <w:rFonts w:ascii="Times New Roman" w:hAnsi="Times New Roman"/>
                <w:sz w:val="20"/>
                <w:szCs w:val="20"/>
              </w:rPr>
              <w:t>results</w:t>
            </w:r>
            <w:r w:rsidRPr="496C2EC4" w:rsidR="5D3857E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815B5" w:rsidP="00BF752B" w:rsidRDefault="00CE7231" w14:paraId="620CC7A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:rsidRPr="00CE7231" w:rsidR="00476D37" w:rsidP="00476D37" w:rsidRDefault="00476D37" w14:paraId="291719C4" w14:textId="4EEDDB78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476D37">
              <w:rPr>
                <w:rFonts w:ascii="Times New Roman" w:hAnsi="Times New Roman"/>
                <w:sz w:val="20"/>
                <w:szCs w:val="20"/>
              </w:rPr>
              <w:t xml:space="preserve">Determining the sensitivity of the method. Determination of the limit of detection and the limit of </w:t>
            </w:r>
            <w:r>
              <w:rPr>
                <w:rFonts w:ascii="Times New Roman" w:hAnsi="Times New Roman"/>
                <w:sz w:val="20"/>
                <w:szCs w:val="20"/>
              </w:rPr>
              <w:t>quantific</w:t>
            </w:r>
            <w:r w:rsidRPr="00476D37">
              <w:rPr>
                <w:rFonts w:ascii="Times New Roman" w:hAnsi="Times New Roman"/>
                <w:sz w:val="20"/>
                <w:szCs w:val="20"/>
              </w:rPr>
              <w:t>ation of the method.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D37">
              <w:rPr>
                <w:rFonts w:ascii="Times New Roman" w:hAnsi="Times New Roman"/>
                <w:sz w:val="20"/>
                <w:szCs w:val="20"/>
              </w:rPr>
              <w:t>Determination of the working area of the method. Determination of analyte content by standard addition method.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D37">
              <w:rPr>
                <w:rFonts w:ascii="Times New Roman" w:hAnsi="Times New Roman"/>
                <w:sz w:val="20"/>
                <w:szCs w:val="20"/>
              </w:rPr>
              <w:t>Determination of accuracy and reproducibility of the method. Writing the plan for the introduction of the new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D37">
              <w:rPr>
                <w:rFonts w:ascii="Times New Roman" w:hAnsi="Times New Roman"/>
                <w:sz w:val="20"/>
                <w:szCs w:val="20"/>
              </w:rPr>
              <w:t>or existing methods</w:t>
            </w:r>
            <w:r w:rsidRPr="0047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D37">
              <w:rPr>
                <w:rFonts w:ascii="Times New Roman" w:hAnsi="Times New Roman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its </w:t>
            </w:r>
            <w:r w:rsidRPr="00476D37">
              <w:rPr>
                <w:rFonts w:ascii="Times New Roman" w:hAnsi="Times New Roman"/>
                <w:sz w:val="20"/>
                <w:szCs w:val="20"/>
              </w:rPr>
              <w:t>practical implementation.</w:t>
            </w:r>
          </w:p>
        </w:tc>
      </w:tr>
      <w:tr w:rsidRPr="001815B5" w:rsidR="00CC3F76" w:rsidTr="496C2EC4" w14:paraId="16EC7999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9C220E" w:rsidP="00CE7231" w:rsidRDefault="00CE7231" w14:paraId="04D9DFE9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476D37" w:rsidR="00476D37" w:rsidP="00476D37" w:rsidRDefault="00476D37" w14:paraId="769E2283" w14:textId="77777777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476D37">
              <w:rPr>
                <w:rFonts w:ascii="Times New Roman" w:hAnsi="Times New Roman"/>
                <w:sz w:val="20"/>
                <w:szCs w:val="20"/>
              </w:rPr>
              <w:t>Kaštelan</w:t>
            </w:r>
            <w:proofErr w:type="spellEnd"/>
            <w:r w:rsidRPr="00476D37">
              <w:rPr>
                <w:rFonts w:ascii="Times New Roman" w:hAnsi="Times New Roman"/>
                <w:sz w:val="20"/>
                <w:szCs w:val="20"/>
              </w:rPr>
              <w:t xml:space="preserve">-Macan, </w:t>
            </w:r>
            <w:proofErr w:type="spellStart"/>
            <w:r w:rsidRPr="00476D37">
              <w:rPr>
                <w:rFonts w:ascii="Times New Roman" w:hAnsi="Times New Roman"/>
                <w:sz w:val="20"/>
                <w:szCs w:val="20"/>
              </w:rPr>
              <w:t>Kemijska</w:t>
            </w:r>
            <w:proofErr w:type="spellEnd"/>
            <w:r w:rsidRPr="0047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D37">
              <w:rPr>
                <w:rFonts w:ascii="Times New Roman" w:hAnsi="Times New Roman"/>
                <w:sz w:val="20"/>
                <w:szCs w:val="20"/>
              </w:rPr>
              <w:t>analiza</w:t>
            </w:r>
            <w:proofErr w:type="spellEnd"/>
            <w:r w:rsidRPr="00476D37">
              <w:rPr>
                <w:rFonts w:ascii="Times New Roman" w:hAnsi="Times New Roman"/>
                <w:sz w:val="20"/>
                <w:szCs w:val="20"/>
              </w:rPr>
              <w:t xml:space="preserve"> u </w:t>
            </w:r>
            <w:proofErr w:type="spellStart"/>
            <w:r w:rsidRPr="00476D37">
              <w:rPr>
                <w:rFonts w:ascii="Times New Roman" w:hAnsi="Times New Roman"/>
                <w:sz w:val="20"/>
                <w:szCs w:val="20"/>
              </w:rPr>
              <w:t>sustavu</w:t>
            </w:r>
            <w:proofErr w:type="spellEnd"/>
            <w:r w:rsidRPr="0047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D37">
              <w:rPr>
                <w:rFonts w:ascii="Times New Roman" w:hAnsi="Times New Roman"/>
                <w:sz w:val="20"/>
                <w:szCs w:val="20"/>
              </w:rPr>
              <w:t>kvaliteta</w:t>
            </w:r>
            <w:proofErr w:type="spellEnd"/>
            <w:r w:rsidRPr="00476D3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D37">
              <w:rPr>
                <w:rFonts w:ascii="Times New Roman" w:hAnsi="Times New Roman"/>
                <w:sz w:val="20"/>
                <w:szCs w:val="20"/>
              </w:rPr>
              <w:t>Školska</w:t>
            </w:r>
            <w:proofErr w:type="spellEnd"/>
            <w:r w:rsidRPr="00476D3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76D37">
              <w:rPr>
                <w:rFonts w:ascii="Times New Roman" w:hAnsi="Times New Roman"/>
                <w:sz w:val="20"/>
                <w:szCs w:val="20"/>
              </w:rPr>
              <w:t>knjiga</w:t>
            </w:r>
            <w:proofErr w:type="spellEnd"/>
            <w:r w:rsidRPr="00476D37">
              <w:rPr>
                <w:rFonts w:ascii="Times New Roman" w:hAnsi="Times New Roman"/>
                <w:sz w:val="20"/>
                <w:szCs w:val="20"/>
              </w:rPr>
              <w:t>, Zagreb, 2003.</w:t>
            </w:r>
          </w:p>
          <w:p w:rsidRPr="00476D37" w:rsidR="00476D37" w:rsidP="00476D37" w:rsidRDefault="00476D37" w14:paraId="48967C09" w14:textId="286095F3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6D37">
              <w:rPr>
                <w:rFonts w:ascii="Times New Roman" w:hAnsi="Times New Roman"/>
                <w:sz w:val="20"/>
                <w:szCs w:val="20"/>
              </w:rPr>
              <w:t xml:space="preserve">D.A. Skoog, D. M. West, F.J. Holer, </w:t>
            </w:r>
            <w:proofErr w:type="spellStart"/>
            <w:r w:rsidRPr="00476D37">
              <w:rPr>
                <w:rFonts w:ascii="Times New Roman" w:hAnsi="Times New Roman"/>
                <w:sz w:val="20"/>
                <w:szCs w:val="20"/>
              </w:rPr>
              <w:t>Foundamentals</w:t>
            </w:r>
            <w:proofErr w:type="spellEnd"/>
            <w:r w:rsidRPr="00476D37">
              <w:rPr>
                <w:rFonts w:ascii="Times New Roman" w:hAnsi="Times New Roman"/>
                <w:sz w:val="20"/>
                <w:szCs w:val="20"/>
              </w:rPr>
              <w:t xml:space="preserve"> of Analytical Chemistry, Sounders College Publishing, New York, 1996</w:t>
            </w:r>
            <w:r w:rsidRPr="00476D3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Pr="00476D37" w:rsidR="00476D37" w:rsidP="00476D37" w:rsidRDefault="00476D37" w14:paraId="68441527" w14:textId="2CB58E0B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ind w:left="357" w:hanging="35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6D37">
              <w:rPr>
                <w:rFonts w:ascii="Times New Roman" w:hAnsi="Times New Roman"/>
                <w:sz w:val="20"/>
                <w:szCs w:val="20"/>
              </w:rPr>
              <w:t xml:space="preserve">Funk, Werner; </w:t>
            </w:r>
            <w:proofErr w:type="spellStart"/>
            <w:r w:rsidRPr="00476D37">
              <w:rPr>
                <w:rFonts w:ascii="Times New Roman" w:hAnsi="Times New Roman"/>
                <w:sz w:val="20"/>
                <w:szCs w:val="20"/>
              </w:rPr>
              <w:t>Dammann</w:t>
            </w:r>
            <w:proofErr w:type="spellEnd"/>
            <w:r w:rsidRPr="00476D37">
              <w:rPr>
                <w:rFonts w:ascii="Times New Roman" w:hAnsi="Times New Roman"/>
                <w:sz w:val="20"/>
                <w:szCs w:val="20"/>
              </w:rPr>
              <w:t xml:space="preserve">, Vera; </w:t>
            </w:r>
            <w:proofErr w:type="spellStart"/>
            <w:r w:rsidRPr="00476D37">
              <w:rPr>
                <w:rFonts w:ascii="Times New Roman" w:hAnsi="Times New Roman"/>
                <w:sz w:val="20"/>
                <w:szCs w:val="20"/>
              </w:rPr>
              <w:t>Donnevert</w:t>
            </w:r>
            <w:proofErr w:type="spellEnd"/>
            <w:r w:rsidRPr="00476D3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76D37">
              <w:rPr>
                <w:rFonts w:ascii="Times New Roman" w:hAnsi="Times New Roman"/>
                <w:sz w:val="20"/>
                <w:szCs w:val="20"/>
              </w:rPr>
              <w:t>Gerhild</w:t>
            </w:r>
            <w:proofErr w:type="spellEnd"/>
            <w:r w:rsidRPr="00476D37">
              <w:rPr>
                <w:rFonts w:ascii="Times New Roman" w:hAnsi="Times New Roman"/>
                <w:sz w:val="20"/>
                <w:szCs w:val="20"/>
              </w:rPr>
              <w:t>, Quality assurance in analytical chemistry: applications in environmental, food, and materials analysis, biotechnology, and medical engineering, Wiley-VCH Verlag 2007</w:t>
            </w:r>
          </w:p>
        </w:tc>
      </w:tr>
      <w:tr w:rsidRPr="00092214" w:rsidR="00CC3F76" w:rsidTr="496C2EC4" w14:paraId="537B245D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CE7231" w:rsidR="00CC3F76" w:rsidP="000A550D" w:rsidRDefault="00CE7231" w14:paraId="0901A2CD" w14:textId="23A0FD1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tcMar/>
            <w:vAlign w:val="center"/>
          </w:tcPr>
          <w:p w:rsidRPr="00CE7231" w:rsidR="00CC3F76" w:rsidP="000A550D" w:rsidRDefault="00CE7231" w14:paraId="1ECF3923" w14:textId="70AA73B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476D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6D37" w:rsidR="00476D37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292" w:type="dxa"/>
            <w:gridSpan w:val="2"/>
            <w:tcMar/>
            <w:vAlign w:val="center"/>
          </w:tcPr>
          <w:p w:rsidRPr="00CE7231" w:rsidR="00CC3F76" w:rsidP="000A550D" w:rsidRDefault="00CE7231" w14:paraId="0ECFC311" w14:textId="6494CA5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="00476D3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76D37" w:rsidR="00476D37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Pr="00092214" w:rsidR="00CC3F76" w:rsidTr="496C2EC4" w14:paraId="7C7979F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="00CC3F76" w:rsidP="000A550D" w:rsidRDefault="00CE7231" w14:paraId="2BF07BF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:rsidRPr="00CE7231" w:rsidR="00476D37" w:rsidP="00476D37" w:rsidRDefault="00476D37" w14:paraId="3F2152FD" w14:textId="6AD1337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76D37">
              <w:rPr>
                <w:rFonts w:ascii="Times New Roman" w:hAnsi="Times New Roman"/>
                <w:sz w:val="20"/>
                <w:szCs w:val="20"/>
              </w:rPr>
              <w:t>lectures, interactive teaching, laboratory exercises, computational exercises,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D37">
              <w:rPr>
                <w:rFonts w:ascii="Times New Roman" w:hAnsi="Times New Roman"/>
                <w:sz w:val="20"/>
                <w:szCs w:val="20"/>
              </w:rPr>
              <w:t>seminar, consultation</w:t>
            </w:r>
          </w:p>
        </w:tc>
      </w:tr>
      <w:tr w:rsidRPr="00092214" w:rsidR="00CC3F76" w:rsidTr="496C2EC4" w14:paraId="188E65A4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CE7231" w:rsidR="00CC3F76" w:rsidP="000A550D" w:rsidRDefault="00CE7231" w14:paraId="5B48F290" w14:textId="53D1BF2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092214" w:rsidR="00CE7231" w:rsidTr="496C2EC4" w14:paraId="5B494045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CE7231" w:rsidR="00CE7231" w:rsidP="00CE7231" w:rsidRDefault="00CE7231" w14:paraId="29DE0A90" w14:textId="3A0A4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Pre exam duties</w:t>
            </w:r>
          </w:p>
        </w:tc>
        <w:tc>
          <w:tcPr>
            <w:tcW w:w="1960" w:type="dxa"/>
            <w:tcMar/>
            <w:vAlign w:val="center"/>
          </w:tcPr>
          <w:p w:rsidRPr="00CE7231" w:rsidR="00CE7231" w:rsidP="00CE7231" w:rsidRDefault="00CE7231" w14:paraId="464802D0" w14:textId="438184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E7231" w:rsidP="00CE7231" w:rsidRDefault="00A8601C" w14:paraId="53A0D0DC" w14:textId="5530E33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092214" w:rsidR="00CE7231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A8601C" w:rsidR="00CE7231" w:rsidP="00CE7231" w:rsidRDefault="00A8601C" w14:paraId="5B7965F5" w14:textId="40198BF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Pr="00092214" w:rsidR="00CC3F76" w:rsidTr="496C2EC4" w14:paraId="54F50D16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24336FDC" w14:textId="7574BFF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tcMar/>
            <w:vAlign w:val="center"/>
          </w:tcPr>
          <w:p w:rsidRPr="009410E5" w:rsidR="00CC3F76" w:rsidP="000A550D" w:rsidRDefault="009410E5" w14:paraId="645707C3" w14:textId="13E2CDF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C3F76" w:rsidP="000A550D" w:rsidRDefault="00A8601C" w14:paraId="79D1B08F" w14:textId="46483C4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9410E5" w:rsidR="00CC3F76" w:rsidP="000A550D" w:rsidRDefault="009410E5" w14:paraId="7C6F4D4A" w14:textId="2417F7D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</w:tr>
      <w:tr w:rsidRPr="00092214" w:rsidR="00CC3F76" w:rsidTr="496C2EC4" w14:paraId="37A6647C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5803F2E9" w14:textId="1B1D413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tcMar/>
            <w:vAlign w:val="center"/>
          </w:tcPr>
          <w:p w:rsidRPr="009410E5" w:rsidR="00CC3F76" w:rsidP="000A550D" w:rsidRDefault="009410E5" w14:paraId="2A8AC065" w14:textId="6ED4397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587F3E" w:rsidR="00CC3F76" w:rsidP="000A550D" w:rsidRDefault="00A8601C" w14:paraId="28039DD0" w14:textId="2E363CD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9410E5" w:rsidR="00CC3F76" w:rsidP="000A550D" w:rsidRDefault="009410E5" w14:paraId="2DC9F41A" w14:textId="0F1C787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30</w:t>
            </w:r>
          </w:p>
        </w:tc>
      </w:tr>
      <w:tr w:rsidRPr="00092214" w:rsidR="00CC3F76" w:rsidTr="496C2EC4" w14:paraId="1E51AA18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092214" w:rsidR="00CC3F76" w:rsidP="000A550D" w:rsidRDefault="00CE7231" w14:paraId="0569B720" w14:textId="0464CAB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tcMar/>
            <w:vAlign w:val="center"/>
          </w:tcPr>
          <w:p w:rsidRPr="009410E5" w:rsidR="00CC3F76" w:rsidP="000A550D" w:rsidRDefault="009410E5" w14:paraId="43A30471" w14:textId="4813D77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20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F67284" w:rsidR="00CC3F76" w:rsidP="000A550D" w:rsidRDefault="00CC3F76" w14:paraId="5FEE374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CC3F76" w:rsidP="000A550D" w:rsidRDefault="00CC3F76" w14:paraId="50CB323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Pr="00092214" w:rsidR="00CC3F76" w:rsidTr="496C2EC4" w14:paraId="35ADDEE1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A8601C" w:rsidR="00CC3F76" w:rsidP="000A550D" w:rsidRDefault="00A8601C" w14:paraId="3DF70CD9" w14:textId="4AB5E6B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tcMar/>
            <w:vAlign w:val="center"/>
          </w:tcPr>
          <w:p w:rsidRPr="009410E5" w:rsidR="00CC3F76" w:rsidP="000A550D" w:rsidRDefault="009410E5" w14:paraId="49B4A82A" w14:textId="3BC2B3C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092214" w:rsidR="00CC3F76" w:rsidP="000A550D" w:rsidRDefault="00CC3F76" w14:paraId="32A42A1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67284" w:rsidR="00CC3F76" w:rsidP="000A550D" w:rsidRDefault="00CC3F76" w14:paraId="5EEFEEE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CD546A" w:rsidRDefault="00CD546A" w14:paraId="7E5F9288" w14:textId="77777777"/>
    <w:sectPr w:rsidR="00CD546A" w:rsidSect="004525D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7047A"/>
    <w:multiLevelType w:val="hybridMultilevel"/>
    <w:tmpl w:val="D5E8BA64"/>
    <w:lvl w:ilvl="0" w:tplc="340C169A">
      <w:start w:val="1"/>
      <w:numFmt w:val="bullet"/>
      <w:lvlText w:val="−"/>
      <w:lvlJc w:val="left"/>
      <w:pPr>
        <w:ind w:left="720" w:hanging="360"/>
      </w:pPr>
      <w:rPr>
        <w:rFonts w:hint="default" w:ascii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C024EE"/>
    <w:multiLevelType w:val="hybridMultilevel"/>
    <w:tmpl w:val="19C045D2"/>
    <w:lvl w:ilvl="0" w:tplc="3B881C9E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010B4"/>
    <w:multiLevelType w:val="hybridMultilevel"/>
    <w:tmpl w:val="CF6A8D8A"/>
    <w:lvl w:ilvl="0" w:tplc="EAE60492">
      <w:start w:val="4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6421046">
    <w:abstractNumId w:val="0"/>
  </w:num>
  <w:num w:numId="2" w16cid:durableId="1983994617">
    <w:abstractNumId w:val="1"/>
  </w:num>
  <w:num w:numId="3" w16cid:durableId="258029487">
    <w:abstractNumId w:val="3"/>
  </w:num>
  <w:num w:numId="4" w16cid:durableId="2987321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120A0B"/>
    <w:rsid w:val="001815B5"/>
    <w:rsid w:val="001E486E"/>
    <w:rsid w:val="001F0E37"/>
    <w:rsid w:val="001F526C"/>
    <w:rsid w:val="00266037"/>
    <w:rsid w:val="002A4B0C"/>
    <w:rsid w:val="00375D47"/>
    <w:rsid w:val="004525D6"/>
    <w:rsid w:val="00474C37"/>
    <w:rsid w:val="00476D37"/>
    <w:rsid w:val="0048349C"/>
    <w:rsid w:val="005452A0"/>
    <w:rsid w:val="0057337A"/>
    <w:rsid w:val="00577CCF"/>
    <w:rsid w:val="00587F3E"/>
    <w:rsid w:val="006A01B9"/>
    <w:rsid w:val="006F5231"/>
    <w:rsid w:val="006F59DB"/>
    <w:rsid w:val="007349DC"/>
    <w:rsid w:val="00776EB4"/>
    <w:rsid w:val="007B6E97"/>
    <w:rsid w:val="00851722"/>
    <w:rsid w:val="00871839"/>
    <w:rsid w:val="009232D0"/>
    <w:rsid w:val="009410E5"/>
    <w:rsid w:val="00965F0F"/>
    <w:rsid w:val="009808F2"/>
    <w:rsid w:val="009C220E"/>
    <w:rsid w:val="009E32F4"/>
    <w:rsid w:val="00A671C6"/>
    <w:rsid w:val="00A8601C"/>
    <w:rsid w:val="00BB0BA6"/>
    <w:rsid w:val="00BF752B"/>
    <w:rsid w:val="00C341B2"/>
    <w:rsid w:val="00C47988"/>
    <w:rsid w:val="00CC3F76"/>
    <w:rsid w:val="00CD546A"/>
    <w:rsid w:val="00CE7231"/>
    <w:rsid w:val="00D939D4"/>
    <w:rsid w:val="00E9057F"/>
    <w:rsid w:val="00F04FF4"/>
    <w:rsid w:val="00F67284"/>
    <w:rsid w:val="00FA5352"/>
    <w:rsid w:val="00FF55C0"/>
    <w:rsid w:val="040F89AD"/>
    <w:rsid w:val="41490619"/>
    <w:rsid w:val="496C2EC4"/>
    <w:rsid w:val="5D3857E7"/>
    <w:rsid w:val="71638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cs="Times New Roman" w:eastAsiaTheme="minorHAns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3F76"/>
    <w:pPr>
      <w:spacing w:after="0" w:line="240" w:lineRule="auto"/>
    </w:pPr>
    <w:rPr>
      <w:rFonts w:ascii="Calibri" w:hAnsi="Calibri" w:eastAsia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4B0C"/>
    <w:rPr>
      <w:rFonts w:ascii="Segoe UI" w:hAnsi="Segoe UI" w:eastAsia="Calibr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34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B952083-EAEF-44EE-B288-485686505D1F}"/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Aleksandar Bojić</dc:creator>
  <lastModifiedBy>Ivana Rašić Mišić</lastModifiedBy>
  <revision>4</revision>
  <dcterms:created xsi:type="dcterms:W3CDTF">2022-12-25T17:03:00.0000000Z</dcterms:created>
  <dcterms:modified xsi:type="dcterms:W3CDTF">2023-01-06T10:35:30.7756828Z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